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2F6CD0" w:rsidRDefault="002F6CD0" w14:paraId="36F02E73" w14:textId="77777777">
      <w:pPr>
        <w:rPr>
          <w:rFonts w:ascii="EB Garamond" w:hAnsi="EB Garamond" w:eastAsia="EB Garamond" w:cs="EB Garamond"/>
          <w:sz w:val="10"/>
          <w:szCs w:val="10"/>
        </w:rPr>
      </w:pPr>
    </w:p>
    <w:p w:rsidR="002F6CD0" w:rsidRDefault="002F6CD0" w14:paraId="3732B8A9" w14:textId="77777777">
      <w:pPr>
        <w:rPr>
          <w:rFonts w:ascii="EB Garamond" w:hAnsi="EB Garamond" w:eastAsia="EB Garamond" w:cs="EB Garamond"/>
          <w:sz w:val="10"/>
          <w:szCs w:val="10"/>
        </w:rPr>
      </w:pPr>
    </w:p>
    <w:p w:rsidR="002F6CD0" w:rsidRDefault="002F6CD0" w14:paraId="2FE2FECB" w14:textId="77777777">
      <w:pPr>
        <w:rPr>
          <w:rFonts w:ascii="EB Garamond" w:hAnsi="EB Garamond" w:eastAsia="EB Garamond" w:cs="EB Garamond"/>
          <w:sz w:val="10"/>
          <w:szCs w:val="10"/>
        </w:rPr>
      </w:pPr>
    </w:p>
    <w:p w:rsidR="002F6CD0" w:rsidRDefault="00000000" w14:paraId="32556B98" w14:textId="77777777">
      <w:pPr>
        <w:shd w:val="clear" w:color="auto" w:fill="FFFFFF"/>
        <w:spacing w:line="276" w:lineRule="auto"/>
        <w:jc w:val="center"/>
        <w:rPr>
          <w:rFonts w:ascii="EB Garamond" w:hAnsi="EB Garamond" w:eastAsia="EB Garamond" w:cs="EB Garamond"/>
          <w:b/>
          <w:sz w:val="14"/>
          <w:szCs w:val="14"/>
        </w:rPr>
      </w:pPr>
      <w:proofErr w:type="spellStart"/>
      <w:r>
        <w:rPr>
          <w:rFonts w:ascii="EB Garamond" w:hAnsi="EB Garamond" w:eastAsia="EB Garamond" w:cs="EB Garamond"/>
          <w:b/>
          <w:sz w:val="36"/>
          <w:szCs w:val="36"/>
        </w:rPr>
        <w:t>Abracabook</w:t>
      </w:r>
      <w:proofErr w:type="spellEnd"/>
      <w:r>
        <w:rPr>
          <w:rFonts w:ascii="EB Garamond" w:hAnsi="EB Garamond" w:eastAsia="EB Garamond" w:cs="EB Garamond"/>
          <w:b/>
          <w:sz w:val="36"/>
          <w:szCs w:val="36"/>
        </w:rPr>
        <w:t xml:space="preserve"> con la cinquina del Premio Strega 2025</w:t>
      </w:r>
      <w:r>
        <w:rPr>
          <w:rFonts w:ascii="EB Garamond" w:hAnsi="EB Garamond" w:eastAsia="EB Garamond" w:cs="EB Garamond"/>
          <w:b/>
          <w:sz w:val="34"/>
          <w:szCs w:val="34"/>
        </w:rPr>
        <w:br/>
      </w:r>
    </w:p>
    <w:p w:rsidR="002F6CD0" w:rsidP="0DE70091" w:rsidRDefault="002F6CD0" w14:paraId="120D6264" w14:textId="5520A1DC">
      <w:pPr>
        <w:shd w:val="clear" w:color="auto" w:fill="FFFFFF" w:themeFill="background1"/>
        <w:spacing w:line="276" w:lineRule="auto"/>
        <w:jc w:val="center"/>
        <w:rPr>
          <w:rFonts w:ascii="EB Garamond" w:hAnsi="EB Garamond" w:eastAsia="EB Garamond" w:cs="EB Garamond"/>
          <w:i w:val="1"/>
          <w:iCs w:val="1"/>
          <w:sz w:val="22"/>
          <w:szCs w:val="22"/>
        </w:rPr>
      </w:pPr>
      <w:r w:rsidRPr="0DE70091" w:rsidR="0DE70091">
        <w:rPr>
          <w:rFonts w:ascii="EB Garamond" w:hAnsi="EB Garamond" w:eastAsia="EB Garamond" w:cs="EB Garamond"/>
          <w:i w:val="1"/>
          <w:iCs w:val="1"/>
          <w:sz w:val="30"/>
          <w:szCs w:val="30"/>
        </w:rPr>
        <w:t>Un book party stregato in collaborazione con Scuola Holden,</w:t>
      </w:r>
      <w:r>
        <w:br/>
      </w:r>
      <w:r w:rsidRPr="0DE70091" w:rsidR="0DE70091">
        <w:rPr>
          <w:rFonts w:ascii="EB Garamond" w:hAnsi="EB Garamond" w:eastAsia="EB Garamond" w:cs="EB Garamond"/>
          <w:i w:val="1"/>
          <w:iCs w:val="1"/>
          <w:sz w:val="30"/>
          <w:szCs w:val="30"/>
        </w:rPr>
        <w:t>Fondazione Maria e Goffredo Bellonci e Fondazione MAXXI</w:t>
      </w:r>
    </w:p>
    <w:p w:rsidR="002F6CD0" w:rsidP="0DE70091" w:rsidRDefault="002F6CD0" w14:paraId="26844456" w14:noSpellErr="1" w14:textId="0F764D01">
      <w:pPr>
        <w:shd w:val="clear" w:color="auto" w:fill="FFFFFF" w:themeFill="background1"/>
        <w:spacing w:line="276" w:lineRule="auto"/>
        <w:jc w:val="center"/>
        <w:rPr>
          <w:rFonts w:ascii="EB Garamond" w:hAnsi="EB Garamond" w:eastAsia="EB Garamond" w:cs="EB Garamond"/>
          <w:sz w:val="20"/>
          <w:szCs w:val="20"/>
        </w:rPr>
      </w:pPr>
    </w:p>
    <w:p w:rsidR="002F6CD0" w:rsidP="0DE70091" w:rsidRDefault="00000000" w14:paraId="3B3E5EF3" w14:textId="40028929" w14:noSpellErr="1">
      <w:pPr>
        <w:shd w:val="clear" w:color="auto" w:fill="FFFFFF" w:themeFill="background1"/>
        <w:spacing w:line="276" w:lineRule="auto"/>
        <w:jc w:val="center"/>
        <w:rPr>
          <w:rFonts w:ascii="EB Garamond" w:hAnsi="EB Garamond" w:eastAsia="EB Garamond" w:cs="EB Garamond"/>
          <w:sz w:val="26"/>
          <w:szCs w:val="26"/>
        </w:rPr>
      </w:pPr>
      <w:r w:rsidRPr="0DE70091" w:rsidR="0DE70091">
        <w:rPr>
          <w:rFonts w:ascii="EB Garamond" w:hAnsi="EB Garamond" w:eastAsia="EB Garamond" w:cs="EB Garamond"/>
          <w:sz w:val="26"/>
          <w:szCs w:val="26"/>
        </w:rPr>
        <w:t>2 luglio 2025, ore 20.00, nel</w:t>
      </w:r>
      <w:r w:rsidRPr="0DE70091" w:rsidR="0DE70091">
        <w:rPr>
          <w:rFonts w:ascii="EB Garamond" w:hAnsi="EB Garamond" w:eastAsia="EB Garamond" w:cs="EB Garamond"/>
          <w:sz w:val="26"/>
          <w:szCs w:val="26"/>
        </w:rPr>
        <w:t xml:space="preserve">la Piazza del Museo </w:t>
      </w:r>
      <w:r w:rsidRPr="0DE70091" w:rsidR="0DE70091">
        <w:rPr>
          <w:rFonts w:ascii="EB Garamond" w:hAnsi="EB Garamond" w:eastAsia="EB Garamond" w:cs="EB Garamond"/>
          <w:sz w:val="26"/>
          <w:szCs w:val="26"/>
        </w:rPr>
        <w:t>MAXXI a Roma</w:t>
      </w:r>
    </w:p>
    <w:p w:rsidR="002F6CD0" w:rsidP="0DE70091" w:rsidRDefault="002F6CD0" w14:paraId="62CD6399" w14:textId="77777777" w14:noSpellErr="1">
      <w:pPr>
        <w:shd w:val="clear" w:color="auto" w:fill="FFFFFF" w:themeFill="background1"/>
        <w:spacing w:line="331" w:lineRule="auto"/>
        <w:jc w:val="center"/>
        <w:rPr>
          <w:rFonts w:ascii="EB Garamond" w:hAnsi="EB Garamond" w:eastAsia="EB Garamond" w:cs="EB Garamond"/>
          <w:sz w:val="26"/>
          <w:szCs w:val="26"/>
        </w:rPr>
      </w:pPr>
    </w:p>
    <w:p w:rsidR="002F6CD0" w:rsidRDefault="00000000" w14:paraId="58E907F1" w14:textId="39FD792F">
      <w:pPr>
        <w:shd w:val="clear" w:color="auto" w:fill="FFFFFF"/>
        <w:spacing w:line="276" w:lineRule="auto"/>
        <w:jc w:val="both"/>
        <w:rPr>
          <w:rFonts w:ascii="EB Garamond" w:hAnsi="EB Garamond" w:eastAsia="EB Garamond" w:cs="EB Garamond"/>
          <w:color w:val="0E0E0E"/>
        </w:rPr>
      </w:pPr>
      <w:r>
        <w:rPr>
          <w:rFonts w:ascii="EB Garamond" w:hAnsi="EB Garamond" w:eastAsia="EB Garamond" w:cs="EB Garamond"/>
          <w:b/>
          <w:color w:val="0E0E0E"/>
        </w:rPr>
        <w:t xml:space="preserve">La sera del 2 luglio 2025 alle 20.00, alla vigilia dell’assegnazione </w:t>
      </w:r>
      <w:r>
        <w:rPr>
          <w:rFonts w:ascii="EB Garamond" w:hAnsi="EB Garamond" w:eastAsia="EB Garamond" w:cs="EB Garamond"/>
          <w:b/>
        </w:rPr>
        <w:t>del Premio Strega</w:t>
      </w:r>
      <w:r>
        <w:rPr>
          <w:rFonts w:ascii="EB Garamond" w:hAnsi="EB Garamond" w:eastAsia="EB Garamond" w:cs="EB Garamond"/>
        </w:rPr>
        <w:t xml:space="preserve">, </w:t>
      </w:r>
      <w:r>
        <w:rPr>
          <w:rFonts w:ascii="EB Garamond" w:hAnsi="EB Garamond" w:eastAsia="EB Garamond" w:cs="EB Garamond"/>
          <w:b/>
          <w:color w:val="0E0E0E"/>
        </w:rPr>
        <w:t>nella piazza del MAXXI</w:t>
      </w:r>
      <w:r w:rsidR="006D0FBD">
        <w:rPr>
          <w:rFonts w:ascii="EB Garamond" w:hAnsi="EB Garamond" w:eastAsia="EB Garamond" w:cs="EB Garamond"/>
          <w:b/>
          <w:color w:val="0E0E0E"/>
        </w:rPr>
        <w:t xml:space="preserve"> Museo nazionale delle arti del XXI secolo</w:t>
      </w:r>
      <w:r>
        <w:rPr>
          <w:rFonts w:ascii="EB Garamond" w:hAnsi="EB Garamond" w:eastAsia="EB Garamond" w:cs="EB Garamond"/>
          <w:b/>
          <w:color w:val="0E0E0E"/>
        </w:rPr>
        <w:t xml:space="preserve"> di Roma verrà organizzato </w:t>
      </w:r>
      <w:r>
        <w:rPr>
          <w:rFonts w:ascii="EB Garamond" w:hAnsi="EB Garamond" w:eastAsia="EB Garamond" w:cs="EB Garamond"/>
          <w:b/>
          <w:i/>
          <w:color w:val="0E0E0E"/>
        </w:rPr>
        <w:t>un book party stregato</w:t>
      </w:r>
      <w:r>
        <w:rPr>
          <w:rFonts w:ascii="EB Garamond" w:hAnsi="EB Garamond" w:eastAsia="EB Garamond" w:cs="EB Garamond"/>
          <w:color w:val="0E0E0E"/>
        </w:rPr>
        <w:t xml:space="preserve"> </w:t>
      </w:r>
      <w:r>
        <w:rPr>
          <w:rFonts w:ascii="EB Garamond" w:hAnsi="EB Garamond" w:eastAsia="EB Garamond" w:cs="EB Garamond"/>
          <w:b/>
          <w:color w:val="0E0E0E"/>
        </w:rPr>
        <w:t>insieme agli autori e alle autrici della cinquina finalista</w:t>
      </w:r>
      <w:r>
        <w:rPr>
          <w:rFonts w:ascii="EB Garamond" w:hAnsi="EB Garamond" w:eastAsia="EB Garamond" w:cs="EB Garamond"/>
          <w:color w:val="0E0E0E"/>
        </w:rPr>
        <w:t xml:space="preserve">. </w:t>
      </w:r>
      <w:r>
        <w:rPr>
          <w:rFonts w:ascii="EB Garamond" w:hAnsi="EB Garamond" w:eastAsia="EB Garamond" w:cs="EB Garamond"/>
          <w:b/>
          <w:color w:val="0E0E0E"/>
        </w:rPr>
        <w:t xml:space="preserve">Questo evento è organizzato da </w:t>
      </w:r>
      <w:proofErr w:type="spellStart"/>
      <w:r>
        <w:rPr>
          <w:rFonts w:ascii="EB Garamond" w:hAnsi="EB Garamond" w:eastAsia="EB Garamond" w:cs="EB Garamond"/>
          <w:b/>
          <w:color w:val="0E0E0E"/>
        </w:rPr>
        <w:t>Abracabook</w:t>
      </w:r>
      <w:proofErr w:type="spellEnd"/>
      <w:r>
        <w:rPr>
          <w:rFonts w:ascii="EB Garamond" w:hAnsi="EB Garamond" w:eastAsia="EB Garamond" w:cs="EB Garamond"/>
          <w:b/>
          <w:color w:val="0E0E0E"/>
        </w:rPr>
        <w:t xml:space="preserve"> grazie alla collaborazione tra Scuola Holden, Fondazione Maria e Goffredo Bellonci e Fondazione MAXXI</w:t>
      </w:r>
      <w:r>
        <w:rPr>
          <w:rFonts w:ascii="EB Garamond" w:hAnsi="EB Garamond" w:eastAsia="EB Garamond" w:cs="EB Garamond"/>
          <w:color w:val="0E0E0E"/>
        </w:rPr>
        <w:t>.</w:t>
      </w:r>
    </w:p>
    <w:p w:rsidR="002F6CD0" w:rsidRDefault="002F6CD0" w14:paraId="7EE27CB1" w14:textId="77777777">
      <w:pPr>
        <w:shd w:val="clear" w:color="auto" w:fill="FFFFFF"/>
        <w:spacing w:line="276" w:lineRule="auto"/>
        <w:jc w:val="both"/>
        <w:rPr>
          <w:rFonts w:ascii="EB Garamond" w:hAnsi="EB Garamond" w:eastAsia="EB Garamond" w:cs="EB Garamond"/>
          <w:color w:val="0E0E0E"/>
        </w:rPr>
      </w:pPr>
    </w:p>
    <w:p w:rsidR="002F6CD0" w:rsidRDefault="00000000" w14:paraId="51D691D4" w14:textId="77777777">
      <w:pPr>
        <w:shd w:val="clear" w:color="auto" w:fill="FFFFFF"/>
        <w:spacing w:line="276" w:lineRule="auto"/>
        <w:jc w:val="both"/>
        <w:rPr>
          <w:rFonts w:ascii="EB Garamond" w:hAnsi="EB Garamond" w:eastAsia="EB Garamond" w:cs="EB Garamond"/>
          <w:color w:val="0E0E0E"/>
        </w:rPr>
      </w:pPr>
      <w:proofErr w:type="spellStart"/>
      <w:r>
        <w:rPr>
          <w:rFonts w:ascii="EB Garamond" w:hAnsi="EB Garamond" w:eastAsia="EB Garamond" w:cs="EB Garamond"/>
          <w:color w:val="0E0E0E"/>
        </w:rPr>
        <w:t>Abracabook</w:t>
      </w:r>
      <w:proofErr w:type="spellEnd"/>
      <w:r>
        <w:rPr>
          <w:rFonts w:ascii="EB Garamond" w:hAnsi="EB Garamond" w:eastAsia="EB Garamond" w:cs="EB Garamond"/>
          <w:color w:val="0E0E0E"/>
        </w:rPr>
        <w:t xml:space="preserve"> è un movimento culturale che celebra la lettura come gesto collettivo, accessibile e rivoluzionario. Nato alla Scuola Holden durante le giornate del Salone Internazionale del Libro 2024, nel giro di un anno ha organizzato in tutta Italia oltre 40 book party proponendo un modo nuovo di leggere insieme, disconnettendosi dalla rete e costruendo spazi di condivisione e comunità intorno ai libri.</w:t>
      </w:r>
    </w:p>
    <w:p w:rsidR="002F6CD0" w:rsidRDefault="002F6CD0" w14:paraId="2FA551DA" w14:textId="77777777">
      <w:pPr>
        <w:shd w:val="clear" w:color="auto" w:fill="FFFFFF"/>
        <w:spacing w:line="276" w:lineRule="auto"/>
        <w:jc w:val="both"/>
        <w:rPr>
          <w:rFonts w:ascii="EB Garamond" w:hAnsi="EB Garamond" w:eastAsia="EB Garamond" w:cs="EB Garamond"/>
          <w:color w:val="0E0E0E"/>
        </w:rPr>
      </w:pPr>
    </w:p>
    <w:p w:rsidR="002F6CD0" w:rsidRDefault="00000000" w14:paraId="7441D7E2" w14:textId="77777777">
      <w:pPr>
        <w:shd w:val="clear" w:color="auto" w:fill="FFFFFF"/>
        <w:spacing w:line="276" w:lineRule="auto"/>
        <w:jc w:val="both"/>
        <w:rPr>
          <w:rFonts w:ascii="EB Garamond" w:hAnsi="EB Garamond" w:eastAsia="EB Garamond" w:cs="EB Garamond"/>
          <w:color w:val="0E0E0E"/>
        </w:rPr>
      </w:pPr>
      <w:r>
        <w:rPr>
          <w:rFonts w:ascii="EB Garamond" w:hAnsi="EB Garamond" w:eastAsia="EB Garamond" w:cs="EB Garamond"/>
          <w:color w:val="0E0E0E"/>
        </w:rPr>
        <w:t xml:space="preserve">Per un’ora circa si legge in silenzio, </w:t>
      </w:r>
      <w:proofErr w:type="spellStart"/>
      <w:r>
        <w:rPr>
          <w:rFonts w:ascii="EB Garamond" w:hAnsi="EB Garamond" w:eastAsia="EB Garamond" w:cs="EB Garamond"/>
          <w:color w:val="0E0E0E"/>
        </w:rPr>
        <w:t>ciascunə</w:t>
      </w:r>
      <w:proofErr w:type="spellEnd"/>
      <w:r>
        <w:rPr>
          <w:rFonts w:ascii="EB Garamond" w:hAnsi="EB Garamond" w:eastAsia="EB Garamond" w:cs="EB Garamond"/>
          <w:color w:val="0E0E0E"/>
        </w:rPr>
        <w:t xml:space="preserve"> il proprio libro, accomodandosi su cuscini colorati. Dopo la lettura si inizia una conversazione insieme ad autori e autrici che vengono scelti e invitati di volta in volta per parlare con il pubblico. Si parte dai libri che si hanno in quel momento tra le mani, dalle proprie esperienze di lettura, da ciò che colpisce durante l’esperienza. Senza gerarchie intellettuali, senza filtri, in un ambiente sicuro e mediato dallo scrittore o dalla scrittrice presente.</w:t>
      </w:r>
    </w:p>
    <w:p w:rsidR="002F6CD0" w:rsidRDefault="002F6CD0" w14:paraId="1D03E214" w14:textId="77777777">
      <w:pPr>
        <w:shd w:val="clear" w:color="auto" w:fill="FFFFFF"/>
        <w:spacing w:line="276" w:lineRule="auto"/>
        <w:jc w:val="both"/>
        <w:rPr>
          <w:rFonts w:ascii="EB Garamond" w:hAnsi="EB Garamond" w:eastAsia="EB Garamond" w:cs="EB Garamond"/>
          <w:color w:val="0E0E0E"/>
        </w:rPr>
      </w:pPr>
    </w:p>
    <w:p w:rsidR="002F6CD0" w:rsidRDefault="00000000" w14:paraId="3904DF2D" w14:textId="6DC5C40A">
      <w:pPr>
        <w:shd w:val="clear" w:color="auto" w:fill="FFFFFF"/>
        <w:spacing w:line="276" w:lineRule="auto"/>
        <w:jc w:val="both"/>
        <w:rPr>
          <w:rFonts w:ascii="EB Garamond" w:hAnsi="EB Garamond" w:eastAsia="EB Garamond" w:cs="EB Garamond"/>
        </w:rPr>
      </w:pPr>
      <w:r>
        <w:rPr>
          <w:rFonts w:ascii="EB Garamond" w:hAnsi="EB Garamond" w:eastAsia="EB Garamond" w:cs="EB Garamond"/>
        </w:rPr>
        <w:t xml:space="preserve">Per partecipare alla serata del 2 luglio basta portare con sé uno dei cinque libri finalisti del Premio Strega 2025: </w:t>
      </w:r>
      <w:r>
        <w:rPr>
          <w:rFonts w:ascii="EB Garamond" w:hAnsi="EB Garamond" w:eastAsia="EB Garamond" w:cs="EB Garamond"/>
          <w:i/>
        </w:rPr>
        <w:t xml:space="preserve">L’anniversario </w:t>
      </w:r>
      <w:r>
        <w:rPr>
          <w:rFonts w:ascii="EB Garamond" w:hAnsi="EB Garamond" w:eastAsia="EB Garamond" w:cs="EB Garamond"/>
        </w:rPr>
        <w:t xml:space="preserve">di </w:t>
      </w:r>
      <w:r>
        <w:rPr>
          <w:rFonts w:ascii="EB Garamond" w:hAnsi="EB Garamond" w:eastAsia="EB Garamond" w:cs="EB Garamond"/>
          <w:b/>
        </w:rPr>
        <w:t>Andrea Bajani</w:t>
      </w:r>
      <w:r>
        <w:rPr>
          <w:rFonts w:ascii="EB Garamond" w:hAnsi="EB Garamond" w:eastAsia="EB Garamond" w:cs="EB Garamond"/>
        </w:rPr>
        <w:t xml:space="preserve"> (Feltrinelli),</w:t>
      </w:r>
      <w:r w:rsidR="00D17707">
        <w:rPr>
          <w:rFonts w:ascii="EB Garamond" w:hAnsi="EB Garamond" w:eastAsia="EB Garamond" w:cs="EB Garamond"/>
        </w:rPr>
        <w:t xml:space="preserve"> </w:t>
      </w:r>
      <w:r w:rsidR="00D17707">
        <w:rPr>
          <w:rFonts w:ascii="EB Garamond" w:hAnsi="EB Garamond" w:eastAsia="EB Garamond" w:cs="EB Garamond"/>
          <w:i/>
        </w:rPr>
        <w:t>Chiudo la porta e urlo</w:t>
      </w:r>
      <w:r w:rsidR="00D17707">
        <w:rPr>
          <w:rFonts w:ascii="EB Garamond" w:hAnsi="EB Garamond" w:eastAsia="EB Garamond" w:cs="EB Garamond"/>
        </w:rPr>
        <w:t xml:space="preserve"> di </w:t>
      </w:r>
      <w:r w:rsidR="00D17707">
        <w:rPr>
          <w:rFonts w:ascii="EB Garamond" w:hAnsi="EB Garamond" w:eastAsia="EB Garamond" w:cs="EB Garamond"/>
          <w:b/>
        </w:rPr>
        <w:t>Paolo Nori</w:t>
      </w:r>
      <w:r w:rsidR="00D17707">
        <w:rPr>
          <w:rFonts w:ascii="EB Garamond" w:hAnsi="EB Garamond" w:eastAsia="EB Garamond" w:cs="EB Garamond"/>
        </w:rPr>
        <w:t xml:space="preserve"> (Mondadori)</w:t>
      </w:r>
      <w:r>
        <w:rPr>
          <w:rFonts w:ascii="EB Garamond" w:hAnsi="EB Garamond" w:eastAsia="EB Garamond" w:cs="EB Garamond"/>
        </w:rPr>
        <w:t xml:space="preserve">, </w:t>
      </w:r>
      <w:r>
        <w:rPr>
          <w:rFonts w:ascii="EB Garamond" w:hAnsi="EB Garamond" w:eastAsia="EB Garamond" w:cs="EB Garamond"/>
          <w:i/>
        </w:rPr>
        <w:t>Perduto è questo mare</w:t>
      </w:r>
      <w:r>
        <w:rPr>
          <w:rFonts w:ascii="EB Garamond" w:hAnsi="EB Garamond" w:eastAsia="EB Garamond" w:cs="EB Garamond"/>
        </w:rPr>
        <w:t xml:space="preserve"> di </w:t>
      </w:r>
      <w:r>
        <w:rPr>
          <w:rFonts w:ascii="EB Garamond" w:hAnsi="EB Garamond" w:eastAsia="EB Garamond" w:cs="EB Garamond"/>
          <w:b/>
        </w:rPr>
        <w:t xml:space="preserve">Elisabetta </w:t>
      </w:r>
      <w:proofErr w:type="spellStart"/>
      <w:r>
        <w:rPr>
          <w:rFonts w:ascii="EB Garamond" w:hAnsi="EB Garamond" w:eastAsia="EB Garamond" w:cs="EB Garamond"/>
          <w:b/>
        </w:rPr>
        <w:t>Rasy</w:t>
      </w:r>
      <w:proofErr w:type="spellEnd"/>
      <w:r>
        <w:rPr>
          <w:rFonts w:ascii="EB Garamond" w:hAnsi="EB Garamond" w:eastAsia="EB Garamond" w:cs="EB Garamond"/>
        </w:rPr>
        <w:t xml:space="preserve"> (Rizzoli), e </w:t>
      </w:r>
      <w:r>
        <w:rPr>
          <w:rFonts w:ascii="EB Garamond" w:hAnsi="EB Garamond" w:eastAsia="EB Garamond" w:cs="EB Garamond"/>
          <w:i/>
        </w:rPr>
        <w:t xml:space="preserve">Inventario di quel che resta dopo che la foresta brucia </w:t>
      </w:r>
      <w:r>
        <w:rPr>
          <w:rFonts w:ascii="EB Garamond" w:hAnsi="EB Garamond" w:eastAsia="EB Garamond" w:cs="EB Garamond"/>
        </w:rPr>
        <w:t xml:space="preserve">di </w:t>
      </w:r>
      <w:r>
        <w:rPr>
          <w:rFonts w:ascii="EB Garamond" w:hAnsi="EB Garamond" w:eastAsia="EB Garamond" w:cs="EB Garamond"/>
          <w:b/>
        </w:rPr>
        <w:t xml:space="preserve">Michele </w:t>
      </w:r>
      <w:proofErr w:type="spellStart"/>
      <w:r>
        <w:rPr>
          <w:rFonts w:ascii="EB Garamond" w:hAnsi="EB Garamond" w:eastAsia="EB Garamond" w:cs="EB Garamond"/>
          <w:b/>
        </w:rPr>
        <w:t>Ruol</w:t>
      </w:r>
      <w:proofErr w:type="spellEnd"/>
      <w:r>
        <w:rPr>
          <w:rFonts w:ascii="EB Garamond" w:hAnsi="EB Garamond" w:eastAsia="EB Garamond" w:cs="EB Garamond"/>
        </w:rPr>
        <w:t xml:space="preserve"> (</w:t>
      </w:r>
      <w:proofErr w:type="spellStart"/>
      <w:proofErr w:type="gramStart"/>
      <w:r>
        <w:rPr>
          <w:rFonts w:ascii="EB Garamond" w:hAnsi="EB Garamond" w:eastAsia="EB Garamond" w:cs="EB Garamond"/>
        </w:rPr>
        <w:t>TerraRossa</w:t>
      </w:r>
      <w:proofErr w:type="spellEnd"/>
      <w:proofErr w:type="gramEnd"/>
      <w:r w:rsidR="00D17707">
        <w:rPr>
          <w:rFonts w:ascii="EB Garamond" w:hAnsi="EB Garamond" w:eastAsia="EB Garamond" w:cs="EB Garamond"/>
        </w:rPr>
        <w:t xml:space="preserve"> </w:t>
      </w:r>
      <w:r>
        <w:rPr>
          <w:rFonts w:ascii="EB Garamond" w:hAnsi="EB Garamond" w:eastAsia="EB Garamond" w:cs="EB Garamond"/>
        </w:rPr>
        <w:t>ed)</w:t>
      </w:r>
      <w:r w:rsidR="00D17707">
        <w:rPr>
          <w:rFonts w:ascii="EB Garamond" w:hAnsi="EB Garamond" w:eastAsia="EB Garamond" w:cs="EB Garamond"/>
        </w:rPr>
        <w:t xml:space="preserve">, </w:t>
      </w:r>
      <w:r w:rsidR="00D17707">
        <w:rPr>
          <w:rFonts w:ascii="EB Garamond" w:hAnsi="EB Garamond" w:eastAsia="EB Garamond" w:cs="EB Garamond"/>
          <w:i/>
        </w:rPr>
        <w:t>Quello che so di te</w:t>
      </w:r>
      <w:r w:rsidR="00D17707">
        <w:rPr>
          <w:rFonts w:ascii="EB Garamond" w:hAnsi="EB Garamond" w:eastAsia="EB Garamond" w:cs="EB Garamond"/>
        </w:rPr>
        <w:t xml:space="preserve"> di </w:t>
      </w:r>
      <w:r w:rsidR="00D17707">
        <w:rPr>
          <w:rFonts w:ascii="EB Garamond" w:hAnsi="EB Garamond" w:eastAsia="EB Garamond" w:cs="EB Garamond"/>
          <w:b/>
        </w:rPr>
        <w:t>Nadia Terranova</w:t>
      </w:r>
      <w:r w:rsidR="00D17707">
        <w:rPr>
          <w:rFonts w:ascii="EB Garamond" w:hAnsi="EB Garamond" w:eastAsia="EB Garamond" w:cs="EB Garamond"/>
        </w:rPr>
        <w:t xml:space="preserve"> (Guanda)</w:t>
      </w:r>
      <w:r>
        <w:rPr>
          <w:rFonts w:ascii="EB Garamond" w:hAnsi="EB Garamond" w:eastAsia="EB Garamond" w:cs="EB Garamond"/>
        </w:rPr>
        <w:t>. I libri saranno disponibili anche sul posto, al bookshop del Museo MAXXI.</w:t>
      </w:r>
    </w:p>
    <w:p w:rsidR="002F6CD0" w:rsidRDefault="00000000" w14:paraId="0AF286E2" w14:textId="77777777">
      <w:pPr>
        <w:shd w:val="clear" w:color="auto" w:fill="FFFFFF"/>
        <w:spacing w:line="276" w:lineRule="auto"/>
        <w:jc w:val="both"/>
        <w:rPr>
          <w:rFonts w:ascii="EB Garamond" w:hAnsi="EB Garamond" w:eastAsia="EB Garamond" w:cs="EB Garamond"/>
          <w:color w:val="0E0E0E"/>
        </w:rPr>
      </w:pPr>
      <w:r>
        <w:rPr>
          <w:rFonts w:ascii="EB Garamond" w:hAnsi="EB Garamond" w:eastAsia="EB Garamond" w:cs="EB Garamond"/>
        </w:rPr>
        <w:t xml:space="preserve">Dopo l’ora di lettura, comincerà la conversazione: i cinque autori e le autrici finaliste avranno partecipato al book party e saranno lì apposta per incontrare il pubblico, condividendo le proprie idee e impressioni. Il dialogo verrà moderato da </w:t>
      </w:r>
      <w:r>
        <w:rPr>
          <w:rFonts w:ascii="EB Garamond" w:hAnsi="EB Garamond" w:eastAsia="EB Garamond" w:cs="EB Garamond"/>
          <w:b/>
        </w:rPr>
        <w:t xml:space="preserve">Silvia </w:t>
      </w:r>
      <w:proofErr w:type="spellStart"/>
      <w:r>
        <w:rPr>
          <w:rFonts w:ascii="EB Garamond" w:hAnsi="EB Garamond" w:eastAsia="EB Garamond" w:cs="EB Garamond"/>
          <w:b/>
        </w:rPr>
        <w:t>Pevato</w:t>
      </w:r>
      <w:proofErr w:type="spellEnd"/>
      <w:r>
        <w:rPr>
          <w:rFonts w:ascii="EB Garamond" w:hAnsi="EB Garamond" w:eastAsia="EB Garamond" w:cs="EB Garamond"/>
        </w:rPr>
        <w:t>, responsabile della Comunicazione di Scuola Holden e</w:t>
      </w:r>
      <w:r>
        <w:rPr>
          <w:rFonts w:ascii="EB Garamond" w:hAnsi="EB Garamond" w:eastAsia="EB Garamond" w:cs="EB Garamond"/>
          <w:b/>
        </w:rPr>
        <w:t xml:space="preserve"> Lorenzo Carnielo</w:t>
      </w:r>
      <w:r>
        <w:rPr>
          <w:rFonts w:ascii="EB Garamond" w:hAnsi="EB Garamond" w:eastAsia="EB Garamond" w:cs="EB Garamond"/>
        </w:rPr>
        <w:t xml:space="preserve">, project manager di </w:t>
      </w:r>
      <w:proofErr w:type="spellStart"/>
      <w:r>
        <w:rPr>
          <w:rFonts w:ascii="EB Garamond" w:hAnsi="EB Garamond" w:eastAsia="EB Garamond" w:cs="EB Garamond"/>
          <w:i/>
        </w:rPr>
        <w:t>Abracabook</w:t>
      </w:r>
      <w:proofErr w:type="spellEnd"/>
      <w:r>
        <w:rPr>
          <w:rFonts w:ascii="EB Garamond" w:hAnsi="EB Garamond" w:eastAsia="EB Garamond" w:cs="EB Garamond"/>
          <w:i/>
        </w:rPr>
        <w:t xml:space="preserve">. </w:t>
      </w:r>
      <w:r>
        <w:rPr>
          <w:rFonts w:ascii="EB Garamond" w:hAnsi="EB Garamond" w:eastAsia="EB Garamond" w:cs="EB Garamond"/>
        </w:rPr>
        <w:t xml:space="preserve">Saranno presenti per i saluti iniziali anche </w:t>
      </w:r>
      <w:r>
        <w:rPr>
          <w:rFonts w:ascii="EB Garamond" w:hAnsi="EB Garamond" w:eastAsia="EB Garamond" w:cs="EB Garamond"/>
          <w:b/>
        </w:rPr>
        <w:t>Maria Emanuela Bruni</w:t>
      </w:r>
      <w:r>
        <w:rPr>
          <w:rFonts w:ascii="EB Garamond" w:hAnsi="EB Garamond" w:eastAsia="EB Garamond" w:cs="EB Garamond"/>
        </w:rPr>
        <w:t xml:space="preserve">, presidente della Fondazione MAXXI di Roma, e </w:t>
      </w:r>
      <w:r>
        <w:rPr>
          <w:rFonts w:ascii="EB Garamond" w:hAnsi="EB Garamond" w:eastAsia="EB Garamond" w:cs="EB Garamond"/>
          <w:b/>
        </w:rPr>
        <w:t>Stefano Petrocchi</w:t>
      </w:r>
      <w:r>
        <w:rPr>
          <w:rFonts w:ascii="EB Garamond" w:hAnsi="EB Garamond" w:eastAsia="EB Garamond" w:cs="EB Garamond"/>
        </w:rPr>
        <w:t>, direttore della Fondazione Maria e Goffredo Bellonci.</w:t>
      </w:r>
    </w:p>
    <w:p w:rsidR="002F6CD0" w:rsidRDefault="002F6CD0" w14:paraId="152D5529" w14:textId="77777777">
      <w:pPr>
        <w:shd w:val="clear" w:color="auto" w:fill="FFFFFF"/>
        <w:spacing w:line="276" w:lineRule="auto"/>
        <w:jc w:val="both"/>
        <w:rPr>
          <w:rFonts w:ascii="EB Garamond" w:hAnsi="EB Garamond" w:eastAsia="EB Garamond" w:cs="EB Garamond"/>
          <w:color w:val="0E0E0E"/>
        </w:rPr>
      </w:pPr>
    </w:p>
    <w:p w:rsidR="002F6CD0" w:rsidRDefault="00000000" w14:paraId="0728BD32" w14:textId="77777777">
      <w:pPr>
        <w:shd w:val="clear" w:color="auto" w:fill="FFFFFF"/>
        <w:spacing w:line="276" w:lineRule="auto"/>
        <w:jc w:val="both"/>
        <w:rPr>
          <w:rFonts w:ascii="EB Garamond" w:hAnsi="EB Garamond" w:eastAsia="EB Garamond" w:cs="EB Garamond"/>
          <w:color w:val="0E0E0E"/>
        </w:rPr>
      </w:pPr>
      <w:r>
        <w:rPr>
          <w:rFonts w:ascii="EB Garamond" w:hAnsi="EB Garamond" w:eastAsia="EB Garamond" w:cs="EB Garamond"/>
          <w:color w:val="0E0E0E"/>
        </w:rPr>
        <w:t xml:space="preserve">La sera prima dell’assegnazione del premio letterario più prestigioso d’Italia, </w:t>
      </w:r>
      <w:proofErr w:type="spellStart"/>
      <w:r>
        <w:rPr>
          <w:rFonts w:ascii="EB Garamond" w:hAnsi="EB Garamond" w:eastAsia="EB Garamond" w:cs="EB Garamond"/>
          <w:color w:val="0E0E0E"/>
        </w:rPr>
        <w:t>Abracabook</w:t>
      </w:r>
      <w:proofErr w:type="spellEnd"/>
      <w:r>
        <w:rPr>
          <w:rFonts w:ascii="EB Garamond" w:hAnsi="EB Garamond" w:eastAsia="EB Garamond" w:cs="EB Garamond"/>
          <w:color w:val="0E0E0E"/>
        </w:rPr>
        <w:t xml:space="preserve"> propone ancora una volta di rallentare, disconnettersi e sperimentare un modo di stare insieme diverso, rilassato, in un contesto culturale che favorisca l’inclusione spontanea di tutte le voci e senza gerarchie intellettuali. Trovare il tempo per leggere un libro e parlarne con altre persone non dovrebbe essere un privilegio, ma una possibilità comune. Dovrebbe diventare l’occasione per abbattere i muri intellettuali che separano chi scrive da chi legge. </w:t>
      </w:r>
      <w:proofErr w:type="spellStart"/>
      <w:r>
        <w:rPr>
          <w:rFonts w:ascii="EB Garamond" w:hAnsi="EB Garamond" w:eastAsia="EB Garamond" w:cs="EB Garamond"/>
          <w:color w:val="0E0E0E"/>
        </w:rPr>
        <w:t>Abracabook</w:t>
      </w:r>
      <w:proofErr w:type="spellEnd"/>
      <w:r>
        <w:rPr>
          <w:rFonts w:ascii="EB Garamond" w:hAnsi="EB Garamond" w:eastAsia="EB Garamond" w:cs="EB Garamond"/>
          <w:color w:val="0E0E0E"/>
        </w:rPr>
        <w:t xml:space="preserve"> è nata per questo.</w:t>
      </w:r>
    </w:p>
    <w:p w:rsidR="006D0FBD" w:rsidRDefault="006D0FBD" w14:paraId="551F48C0" w14:textId="6103846B">
      <w:pPr>
        <w:shd w:val="clear" w:color="auto" w:fill="FFFFFF"/>
        <w:spacing w:line="276" w:lineRule="auto"/>
        <w:jc w:val="both"/>
        <w:rPr>
          <w:rFonts w:ascii="EB Garamond" w:hAnsi="EB Garamond" w:eastAsia="EB Garamond" w:cs="EB Garamond"/>
          <w:color w:val="0E0E0E"/>
        </w:rPr>
      </w:pPr>
      <w:r>
        <w:rPr>
          <w:rFonts w:ascii="EB Garamond" w:hAnsi="EB Garamond" w:eastAsia="EB Garamond" w:cs="EB Garamond"/>
          <w:color w:val="0E0E0E"/>
        </w:rPr>
        <w:t>Questo evento è parte di Estate al MAXXI, il programma di eventi estivi del Museo.</w:t>
      </w:r>
    </w:p>
    <w:p w:rsidR="002F6CD0" w:rsidRDefault="002F6CD0" w14:paraId="40EEDC97" w14:textId="77777777">
      <w:pPr>
        <w:spacing w:line="276" w:lineRule="auto"/>
        <w:rPr>
          <w:rFonts w:ascii="EB Garamond" w:hAnsi="EB Garamond" w:eastAsia="EB Garamond" w:cs="EB Garamond"/>
          <w:color w:val="0E0E0E"/>
        </w:rPr>
      </w:pPr>
    </w:p>
    <w:p w:rsidR="002F6CD0" w:rsidRDefault="002F6CD0" w14:paraId="269153E4" w14:textId="77777777">
      <w:pPr>
        <w:spacing w:line="276" w:lineRule="auto"/>
        <w:jc w:val="both"/>
        <w:rPr>
          <w:rFonts w:ascii="EB Garamond" w:hAnsi="EB Garamond" w:eastAsia="EB Garamond" w:cs="EB Garamond"/>
          <w:sz w:val="26"/>
          <w:szCs w:val="26"/>
        </w:rPr>
      </w:pPr>
    </w:p>
    <w:p w:rsidR="002F6CD0" w:rsidRDefault="002F6CD0" w14:paraId="304C0CCC" w14:textId="77777777">
      <w:pPr>
        <w:spacing w:line="276" w:lineRule="auto"/>
        <w:jc w:val="both"/>
        <w:rPr>
          <w:rFonts w:ascii="EB Garamond" w:hAnsi="EB Garamond" w:eastAsia="EB Garamond" w:cs="EB Garamond"/>
          <w:sz w:val="26"/>
          <w:szCs w:val="26"/>
        </w:rPr>
      </w:pPr>
    </w:p>
    <w:p w:rsidR="002F6CD0" w:rsidRDefault="002F6CD0" w14:paraId="7093C613" w14:textId="77777777">
      <w:pPr>
        <w:spacing w:line="276" w:lineRule="auto"/>
        <w:jc w:val="both"/>
        <w:rPr>
          <w:rFonts w:ascii="EB Garamond" w:hAnsi="EB Garamond" w:eastAsia="EB Garamond" w:cs="EB Garamond"/>
          <w:sz w:val="26"/>
          <w:szCs w:val="26"/>
        </w:rPr>
      </w:pPr>
    </w:p>
    <w:p w:rsidR="002F6CD0" w:rsidRDefault="00000000" w14:paraId="7022AA2E" w14:textId="77777777">
      <w:pPr>
        <w:rPr>
          <w:rFonts w:ascii="EB Garamond" w:hAnsi="EB Garamond" w:eastAsia="EB Garamond" w:cs="EB Garamond"/>
          <w:b/>
        </w:rPr>
      </w:pPr>
      <w:r>
        <w:rPr>
          <w:rFonts w:ascii="EB Garamond" w:hAnsi="EB Garamond" w:eastAsia="EB Garamond" w:cs="EB Garamond"/>
          <w:b/>
        </w:rPr>
        <w:t>CONTATTI</w:t>
      </w:r>
    </w:p>
    <w:p w:rsidR="002F6CD0" w:rsidRDefault="00000000" w14:paraId="7CE79A79" w14:textId="77777777">
      <w:pPr>
        <w:rPr>
          <w:rFonts w:ascii="EB Garamond" w:hAnsi="EB Garamond" w:eastAsia="EB Garamond" w:cs="EB Garamond"/>
        </w:rPr>
      </w:pPr>
      <w:r>
        <w:rPr>
          <w:rFonts w:ascii="EB Garamond" w:hAnsi="EB Garamond" w:eastAsia="EB Garamond" w:cs="EB Garamond"/>
          <w:b/>
        </w:rPr>
        <w:t xml:space="preserve">Francesca Tablino </w:t>
      </w:r>
      <w:r>
        <w:rPr>
          <w:rFonts w:ascii="EB Garamond" w:hAnsi="EB Garamond" w:eastAsia="EB Garamond" w:cs="EB Garamond"/>
        </w:rPr>
        <w:t xml:space="preserve">– </w:t>
      </w:r>
      <w:r>
        <w:rPr>
          <w:rFonts w:ascii="EB Garamond" w:hAnsi="EB Garamond" w:eastAsia="EB Garamond" w:cs="EB Garamond"/>
          <w:i/>
        </w:rPr>
        <w:t>Ufficio stampa</w:t>
      </w:r>
      <w:r>
        <w:rPr>
          <w:rFonts w:ascii="EB Garamond" w:hAnsi="EB Garamond" w:eastAsia="EB Garamond" w:cs="EB Garamond"/>
          <w:b/>
        </w:rPr>
        <w:br/>
      </w:r>
      <w:r>
        <w:rPr>
          <w:rFonts w:ascii="EB Garamond" w:hAnsi="EB Garamond" w:eastAsia="EB Garamond" w:cs="EB Garamond"/>
        </w:rPr>
        <w:t>francesca.tablino@scuolaholden.it – mob. +39 333 4799195</w:t>
      </w:r>
    </w:p>
    <w:sectPr w:rsidR="002F6CD0">
      <w:footerReference w:type="default" r:id="rId6"/>
      <w:headerReference w:type="first" r:id="rId7"/>
      <w:footerReference w:type="first" r:id="rId8"/>
      <w:pgSz w:w="11906" w:h="16838" w:orient="portrait"/>
      <w:pgMar w:top="1417" w:right="1134" w:bottom="1134" w:left="1134" w:header="708" w:footer="70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2E43B8" w:rsidRDefault="002E43B8" w14:paraId="41B33498" w14:textId="77777777">
      <w:r>
        <w:separator/>
      </w:r>
    </w:p>
  </w:endnote>
  <w:endnote w:type="continuationSeparator" w:id="0">
    <w:p w:rsidR="002E43B8" w:rsidRDefault="002E43B8" w14:paraId="711255B4"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w:fontKey="{835316BB-DEBF-A242-9521-A72639C1D367}" r:id="rId1"/>
    <w:embedBold w:fontKey="{4CE75D6B-88BD-C345-B534-986981299674}" r:id="rId2"/>
  </w:font>
  <w:font w:name="Cambria">
    <w:panose1 w:val="02040503050406030204"/>
    <w:charset w:val="00"/>
    <w:family w:val="roman"/>
    <w:pitch w:val="variable"/>
    <w:sig w:usb0="E00002FF" w:usb1="400004FF" w:usb2="00000000" w:usb3="00000000" w:csb0="0000019F" w:csb1="00000000"/>
    <w:embedRegular w:fontKey="{91F0E7C4-C4F8-DC46-B3FF-258DFC814A8C}" r:id="rId3"/>
  </w:font>
  <w:font w:name="Georgia">
    <w:panose1 w:val="02040502050405020303"/>
    <w:charset w:val="00"/>
    <w:family w:val="roman"/>
    <w:pitch w:val="variable"/>
    <w:sig w:usb0="00000287" w:usb1="00000000" w:usb2="00000000" w:usb3="00000000" w:csb0="0000009F" w:csb1="00000000"/>
    <w:embedRegular w:fontKey="{09E3F832-6815-3644-9A55-8869DA000535}" r:id="rId4"/>
    <w:embedItalic w:fontKey="{172D2C68-E21C-1243-90A4-9BBFA59724D7}" r:id="rId5"/>
  </w:font>
  <w:font w:name="EB Garamond">
    <w:panose1 w:val="00000500000000000000"/>
    <w:charset w:val="00"/>
    <w:family w:val="auto"/>
    <w:pitch w:val="variable"/>
    <w:sig w:usb0="E00002FF" w:usb1="02000413" w:usb2="00000000" w:usb3="00000000" w:csb0="0000019F" w:csb1="00000000"/>
    <w:embedRegular w:fontKey="{E2E8949D-720C-C44E-84D5-3702E0E1803C}" r:id="rId6"/>
    <w:embedBold w:fontKey="{9644444E-3EC0-B34C-BA4E-1C0A8141E0CA}" r:id="rId7"/>
    <w:embedItalic w:fontKey="{03DCAA24-34C4-5F4A-B22E-AC8F4567B420}" r:id="rId8"/>
    <w:embedBoldItalic w:fontKey="{23411D8C-8086-3648-9669-AE6795DACA17}" r:id="rId9"/>
  </w:font>
  <w:font w:name="Calibri">
    <w:panose1 w:val="020F0502020204030204"/>
    <w:charset w:val="00"/>
    <w:family w:val="swiss"/>
    <w:pitch w:val="variable"/>
    <w:sig w:usb0="E0002AFF" w:usb1="C000247B" w:usb2="00000009" w:usb3="00000000" w:csb0="000001FF" w:csb1="00000000"/>
    <w:embedRegular w:fontKey="{B3B13183-CF11-D34C-AC24-BAC0C6BCB8BD}" r:id="rId10"/>
  </w:font>
  <w:font w:name="Arial">
    <w:panose1 w:val="020B0604020202020204"/>
    <w:charset w:val="00"/>
    <w:family w:val="swiss"/>
    <w:pitch w:val="variable"/>
    <w:sig w:usb0="E0002AFF" w:usb1="C0007843" w:usb2="00000009" w:usb3="00000000" w:csb0="000001FF" w:csb1="00000000"/>
    <w:embedRegular w:fontKey="{905F964E-3E99-E643-ACFD-EEB748CBDCC3}" r:id="rId1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sdtfl w16du wp14">
  <w:p w:rsidR="002F6CD0" w:rsidRDefault="00000000" w14:paraId="2CF3DA11" w14:textId="77777777">
    <w:pPr>
      <w:pBdr>
        <w:top w:val="nil"/>
        <w:left w:val="nil"/>
        <w:bottom w:val="nil"/>
        <w:right w:val="nil"/>
        <w:between w:val="nil"/>
      </w:pBdr>
      <w:tabs>
        <w:tab w:val="center" w:pos="4819"/>
        <w:tab w:val="right" w:pos="9638"/>
      </w:tabs>
      <w:jc w:val="center"/>
      <w:rPr>
        <w:rFonts w:ascii="Calibri" w:hAnsi="Calibri" w:eastAsia="Calibri" w:cs="Calibri"/>
        <w:color w:val="000000"/>
        <w:sz w:val="22"/>
        <w:szCs w:val="22"/>
      </w:rPr>
    </w:pPr>
    <w:r>
      <w:rPr>
        <w:rFonts w:ascii="Calibri" w:hAnsi="Calibri" w:eastAsia="Calibri" w:cs="Calibri"/>
        <w:noProof/>
        <w:color w:val="000000"/>
        <w:sz w:val="22"/>
        <w:szCs w:val="22"/>
      </w:rPr>
      <w:drawing>
        <wp:inline distT="0" distB="0" distL="0" distR="0" wp14:anchorId="09EE524E" wp14:editId="16D823B3">
          <wp:extent cx="2569469" cy="371857"/>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569469" cy="371857"/>
                  </a:xfrm>
                  <a:prstGeom prst="rect">
                    <a:avLst/>
                  </a:prstGeom>
                  <a:ln/>
                </pic:spPr>
              </pic:pic>
            </a:graphicData>
          </a:graphic>
        </wp:inline>
      </w:drawing>
    </w:r>
  </w:p>
  <w:p w:rsidR="002F6CD0" w:rsidRDefault="002F6CD0" w14:paraId="22019BFD" w14:textId="77777777">
    <w:pPr>
      <w:pBdr>
        <w:top w:val="nil"/>
        <w:left w:val="nil"/>
        <w:bottom w:val="nil"/>
        <w:right w:val="nil"/>
        <w:between w:val="nil"/>
      </w:pBdr>
      <w:tabs>
        <w:tab w:val="center" w:pos="4819"/>
        <w:tab w:val="right" w:pos="9638"/>
      </w:tabs>
      <w:rPr>
        <w:rFonts w:ascii="Calibri" w:hAnsi="Calibri" w:eastAsia="Calibri" w:cs="Calibri"/>
        <w:color w:val="000000"/>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sdtfl w16du wp14">
  <w:p w:rsidR="002F6CD0" w:rsidRDefault="00000000" w14:paraId="585C7ABF" w14:textId="77777777">
    <w:pPr>
      <w:pBdr>
        <w:top w:val="nil"/>
        <w:left w:val="nil"/>
        <w:bottom w:val="nil"/>
        <w:right w:val="nil"/>
        <w:between w:val="nil"/>
      </w:pBdr>
      <w:tabs>
        <w:tab w:val="center" w:pos="4819"/>
        <w:tab w:val="right" w:pos="9638"/>
      </w:tabs>
      <w:jc w:val="center"/>
      <w:rPr>
        <w:rFonts w:ascii="Calibri" w:hAnsi="Calibri" w:eastAsia="Calibri" w:cs="Calibri"/>
        <w:color w:val="000000"/>
        <w:sz w:val="22"/>
        <w:szCs w:val="22"/>
      </w:rPr>
    </w:pPr>
    <w:r>
      <w:rPr>
        <w:rFonts w:ascii="Calibri" w:hAnsi="Calibri" w:eastAsia="Calibri" w:cs="Calibri"/>
        <w:noProof/>
        <w:color w:val="000000"/>
        <w:sz w:val="22"/>
        <w:szCs w:val="22"/>
      </w:rPr>
      <w:drawing>
        <wp:inline distT="0" distB="0" distL="0" distR="0" wp14:anchorId="71625570" wp14:editId="64749283">
          <wp:extent cx="2074169" cy="300176"/>
          <wp:effectExtent l="0" t="0" r="0" b="0"/>
          <wp:docPr id="2" name="image1.png" title=""/>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l="0" t="0" r="0" b="0"/>
                  <a:stretch>
                    <a:fillRect/>
                  </a:stretch>
                </pic:blipFill>
                <pic:spPr xmlns:pic="http://schemas.openxmlformats.org/drawingml/2006/picture">
                  <a:xfrm xmlns:a="http://schemas.openxmlformats.org/drawingml/2006/main" rot="0" flipH="0" flipV="0">
                    <a:off x="0" y="0"/>
                    <a:ext cx="2074169" cy="300176"/>
                  </a:xfrm>
                  <a:prstGeom xmlns:a="http://schemas.openxmlformats.org/drawingml/2006/main" prst="rect">
                    <a:avLst/>
                  </a:prstGeom>
                  <a:ln xmlns:a="http://schemas.openxmlformats.org/drawingml/2006/mai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2E43B8" w:rsidRDefault="002E43B8" w14:paraId="2D24463C" w14:textId="77777777">
      <w:r>
        <w:separator/>
      </w:r>
    </w:p>
  </w:footnote>
  <w:footnote w:type="continuationSeparator" w:id="0">
    <w:p w:rsidR="002E43B8" w:rsidRDefault="002E43B8" w14:paraId="20C30B6F"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sdtfl w16du wp14">
  <w:p w:rsidR="002F6CD0" w:rsidRDefault="002F6CD0" w14:paraId="09DFC839" w14:textId="77777777">
    <w:pPr>
      <w:pBdr>
        <w:top w:val="nil"/>
        <w:left w:val="nil"/>
        <w:bottom w:val="nil"/>
        <w:right w:val="nil"/>
        <w:between w:val="nil"/>
      </w:pBdr>
      <w:tabs>
        <w:tab w:val="center" w:pos="4819"/>
        <w:tab w:val="right" w:pos="9638"/>
      </w:tabs>
      <w:jc w:val="center"/>
      <w:rPr>
        <w:rFonts w:ascii="Calibri" w:hAnsi="Calibri" w:eastAsia="Calibri" w:cs="Calibri"/>
        <w:color w:val="000000"/>
        <w:sz w:val="22"/>
        <w:szCs w:val="22"/>
      </w:rPr>
    </w:pPr>
  </w:p>
  <w:p w:rsidR="002F6CD0" w:rsidRDefault="00000000" w14:paraId="6910EE6C" w14:textId="77777777">
    <w:pPr>
      <w:pBdr>
        <w:top w:val="nil"/>
        <w:left w:val="nil"/>
        <w:bottom w:val="nil"/>
        <w:right w:val="nil"/>
        <w:between w:val="nil"/>
      </w:pBdr>
      <w:tabs>
        <w:tab w:val="center" w:pos="4819"/>
        <w:tab w:val="right" w:pos="9638"/>
      </w:tabs>
      <w:jc w:val="center"/>
      <w:rPr>
        <w:rFonts w:ascii="Calibri" w:hAnsi="Calibri" w:eastAsia="Calibri" w:cs="Calibri"/>
        <w:color w:val="000000"/>
        <w:sz w:val="22"/>
        <w:szCs w:val="22"/>
      </w:rPr>
    </w:pPr>
    <w:r>
      <w:rPr>
        <w:rFonts w:ascii="Calibri" w:hAnsi="Calibri" w:eastAsia="Calibri" w:cs="Calibri"/>
        <w:noProof/>
        <w:color w:val="000000"/>
        <w:sz w:val="22"/>
        <w:szCs w:val="22"/>
      </w:rPr>
      <w:drawing>
        <wp:inline distT="0" distB="0" distL="0" distR="0" wp14:anchorId="7CDE47B1" wp14:editId="76713DF2">
          <wp:extent cx="1853456" cy="345187"/>
          <wp:effectExtent l="0" t="0" r="0" b="0"/>
          <wp:docPr id="1" name="image2.png" title=""/>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l="0" t="0" r="0" b="0"/>
                  <a:stretch>
                    <a:fillRect/>
                  </a:stretch>
                </pic:blipFill>
                <pic:spPr xmlns:pic="http://schemas.openxmlformats.org/drawingml/2006/picture">
                  <a:xfrm xmlns:a="http://schemas.openxmlformats.org/drawingml/2006/main" rot="0" flipH="0" flipV="0">
                    <a:off x="0" y="0"/>
                    <a:ext cx="1853456" cy="345187"/>
                  </a:xfrm>
                  <a:prstGeom xmlns:a="http://schemas.openxmlformats.org/drawingml/2006/main" prst="rect">
                    <a:avLst/>
                  </a:prstGeom>
                  <a:ln xmlns:a="http://schemas.openxmlformats.org/drawingml/2006/main"/>
                </pic:spPr>
              </pic:pic>
            </a:graphicData>
          </a:graphic>
        </wp:inline>
      </w:drawing>
    </w:r>
  </w:p>
</w:hdr>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val="bestFit" w:percent="201"/>
  <w:embedTrueTypeFonts/>
  <w:trackRevisions w:val="false"/>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6CD0"/>
    <w:rsid w:val="00022D94"/>
    <w:rsid w:val="002E43B8"/>
    <w:rsid w:val="002F6CD0"/>
    <w:rsid w:val="005578B1"/>
    <w:rsid w:val="006D0FBD"/>
    <w:rsid w:val="00A613EB"/>
    <w:rsid w:val="00AB0ED8"/>
    <w:rsid w:val="00D17707"/>
    <w:rsid w:val="00DB102D"/>
    <w:rsid w:val="00E950DC"/>
    <w:rsid w:val="0DE70091"/>
    <w:rsid w:val="74CC950B"/>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2916E0"/>
  <w15:docId w15:val="{012027CE-257C-479A-A74E-217732FD86EE}"/>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imes New Roman" w:hAnsi="Times New Roman" w:eastAsia="Times New Roman" w:cs="Times New Roman"/>
        <w:sz w:val="24"/>
        <w:szCs w:val="24"/>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e" w:default="1">
    <w:name w:val="Normal"/>
    <w:qFormat/>
  </w:style>
  <w:style w:type="paragraph" w:styleId="Titolo1">
    <w:name w:val="heading 1"/>
    <w:basedOn w:val="Normale"/>
    <w:next w:val="Normale"/>
    <w:uiPriority w:val="9"/>
    <w:qFormat/>
    <w:pPr>
      <w:outlineLvl w:val="0"/>
    </w:pPr>
    <w:rPr>
      <w:b/>
      <w:sz w:val="48"/>
      <w:szCs w:val="48"/>
    </w:rPr>
  </w:style>
  <w:style w:type="paragraph" w:styleId="Titolo2">
    <w:name w:val="heading 2"/>
    <w:basedOn w:val="Normale"/>
    <w:next w:val="Normale"/>
    <w:uiPriority w:val="9"/>
    <w:semiHidden/>
    <w:unhideWhenUsed/>
    <w:qFormat/>
    <w:pPr>
      <w:keepNext/>
      <w:keepLines/>
      <w:spacing w:before="360" w:after="80"/>
      <w:outlineLvl w:val="1"/>
    </w:pPr>
    <w:rPr>
      <w:b/>
      <w:sz w:val="36"/>
      <w:szCs w:val="36"/>
    </w:rPr>
  </w:style>
  <w:style w:type="paragraph" w:styleId="Titolo3">
    <w:name w:val="heading 3"/>
    <w:basedOn w:val="Normale"/>
    <w:next w:val="Normale"/>
    <w:uiPriority w:val="9"/>
    <w:semiHidden/>
    <w:unhideWhenUsed/>
    <w:qFormat/>
    <w:pPr>
      <w:outlineLvl w:val="2"/>
    </w:pPr>
    <w:rPr>
      <w:b/>
      <w:sz w:val="27"/>
      <w:szCs w:val="27"/>
    </w:rPr>
  </w:style>
  <w:style w:type="paragraph" w:styleId="Titolo4">
    <w:name w:val="heading 4"/>
    <w:basedOn w:val="Normale"/>
    <w:next w:val="Normale"/>
    <w:uiPriority w:val="9"/>
    <w:semiHidden/>
    <w:unhideWhenUsed/>
    <w:qFormat/>
    <w:pPr>
      <w:keepNext/>
      <w:keepLines/>
      <w:spacing w:before="240" w:after="40"/>
      <w:outlineLvl w:val="3"/>
    </w:pPr>
    <w:rPr>
      <w:b/>
    </w:rPr>
  </w:style>
  <w:style w:type="paragraph" w:styleId="Titolo5">
    <w:name w:val="heading 5"/>
    <w:basedOn w:val="Normale"/>
    <w:next w:val="Normale"/>
    <w:uiPriority w:val="9"/>
    <w:semiHidden/>
    <w:unhideWhenUsed/>
    <w:qFormat/>
    <w:pPr>
      <w:keepNext/>
      <w:keepLines/>
      <w:spacing w:before="200"/>
      <w:outlineLvl w:val="4"/>
    </w:pPr>
    <w:rPr>
      <w:rFonts w:ascii="Cambria" w:hAnsi="Cambria" w:eastAsia="Cambria" w:cs="Cambria"/>
      <w:color w:val="243F61"/>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styleId="Carpredefinitoparagrafo" w:default="1">
    <w:name w:val="Default Paragraph Font"/>
    <w:uiPriority w:val="1"/>
    <w:semiHidden/>
    <w:unhideWhenUsed/>
  </w:style>
  <w:style w:type="table" w:styleId="Tabellanormale" w:default="1">
    <w:name w:val="Normal Table"/>
    <w:uiPriority w:val="99"/>
    <w:semiHidden/>
    <w:unhideWhenUsed/>
    <w:tblPr>
      <w:tblInd w:w="0" w:type="dxa"/>
      <w:tblCellMar>
        <w:top w:w="0" w:type="dxa"/>
        <w:left w:w="108" w:type="dxa"/>
        <w:bottom w:w="0" w:type="dxa"/>
        <w:right w:w="108" w:type="dxa"/>
      </w:tblCellMar>
    </w:tblPr>
  </w:style>
  <w:style w:type="numbering" w:styleId="Nessunelenco" w:default="1">
    <w:name w:val="No List"/>
    <w:uiPriority w:val="99"/>
    <w:semiHidden/>
    <w:unhideWhenUsed/>
  </w:style>
  <w:style w:type="table" w:styleId="TableNormal" w:customStyle="1">
    <w:name w:val="Table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before="480" w:after="120"/>
    </w:pPr>
    <w:rPr>
      <w:b/>
      <w:sz w:val="72"/>
      <w:szCs w:val="72"/>
    </w:rPr>
  </w:style>
  <w:style w:type="paragraph" w:styleId="Sottotitolo">
    <w:name w:val="Subtitle"/>
    <w:basedOn w:val="Normale"/>
    <w:next w:val="Normale"/>
    <w:uiPriority w:val="11"/>
    <w:qFormat/>
    <w:pPr>
      <w:keepNext/>
      <w:keepLines/>
      <w:spacing w:before="360" w:after="80"/>
    </w:pPr>
    <w:rPr>
      <w:rFonts w:ascii="Georgia" w:hAnsi="Georgia" w:eastAsia="Georgia" w:cs="Georgia"/>
      <w:i/>
      <w:color w:val="666666"/>
      <w:sz w:val="48"/>
      <w:szCs w:val="48"/>
    </w:rPr>
  </w:style>
  <w:style w:type="paragraph" w:styleId="Header">
    <w:uiPriority w:val="99"/>
    <w:name w:val="header"/>
    <w:basedOn w:val="Normale"/>
    <w:unhideWhenUsed/>
    <w:rsid w:val="74CC950B"/>
    <w:pPr>
      <w:tabs>
        <w:tab w:val="center" w:leader="none" w:pos="4680"/>
        <w:tab w:val="right" w:leader="none" w:pos="9360"/>
      </w:tabs>
      <w:spacing w:after="0" w:line="240" w:lineRule="auto"/>
    </w:pPr>
  </w:style>
  <w:style xmlns:w="http://schemas.openxmlformats.org/wordprocessingml/2006/main" w:type="table" w:styleId="TableGrid">
    <w:name xmlns:w="http://schemas.openxmlformats.org/wordprocessingml/2006/main" w:val="Table Grid"/>
    <w:basedOn xmlns:w="http://schemas.openxmlformats.org/wordprocessingml/2006/main" w:val="Tabellanormale"/>
    <w:uiPriority xmlns:w="http://schemas.openxmlformats.org/wordprocessingml/2006/main" w:val="59"/>
    <w:rsid xmlns:w="http://schemas.openxmlformats.org/wordprocessingml/2006/main" w:val="00FB4123"/>
    <w:pPr xmlns:w="http://schemas.openxmlformats.org/wordprocessingml/2006/main">
      <w:spacing w:after="0" w:line="240" w:lineRule="auto"/>
    </w:pPr>
    <w:tblPr xmlns:w="http://schemas.openxmlformats.org/wordprocessingml/2006/main">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footer" Target="footer2.xml" Id="rId8" /><Relationship Type="http://schemas.openxmlformats.org/officeDocument/2006/relationships/webSettings" Target="webSettings.xml" Id="rId3" /><Relationship Type="http://schemas.openxmlformats.org/officeDocument/2006/relationships/header" Target="header1.xml" Id="rId7" /><Relationship Type="http://schemas.openxmlformats.org/officeDocument/2006/relationships/settings" Target="settings.xml" Id="rId2" /><Relationship Type="http://schemas.openxmlformats.org/officeDocument/2006/relationships/styles" Target="styles.xml" Id="rId1" /><Relationship Type="http://schemas.openxmlformats.org/officeDocument/2006/relationships/footer" Target="footer1.xml" Id="rId6" /><Relationship Type="http://schemas.openxmlformats.org/officeDocument/2006/relationships/endnotes" Target="endnotes.xml" Id="rId5" /><Relationship Type="http://schemas.openxmlformats.org/officeDocument/2006/relationships/theme" Target="theme/theme1.xml" Id="rId10" /><Relationship Type="http://schemas.openxmlformats.org/officeDocument/2006/relationships/footnotes" Target="footnotes.xml" Id="rId4" /><Relationship Type="http://schemas.openxmlformats.org/officeDocument/2006/relationships/fontTable" Target="fontTable.xml" Id="rId9" /></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Francesca Tablino</dc:creator>
  <lastModifiedBy>Fondazione Bellonci</lastModifiedBy>
  <revision>5</revision>
  <dcterms:created xsi:type="dcterms:W3CDTF">2025-06-19T16:07:00.0000000Z</dcterms:created>
  <dcterms:modified xsi:type="dcterms:W3CDTF">2025-07-01T13:18:05.4287824Z</dcterms:modified>
</coreProperties>
</file>