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666666" w:space="3" w:sz="6" w:val="dotted"/>
          <w:bottom w:color="666666" w:space="3" w:sz="6" w:val="dotted"/>
        </w:pBdr>
        <w:shd w:fill="ffffff" w:val="clear"/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Premio Strega Ragazze e Ragazzi. </w:t>
      </w:r>
      <w:hyperlink r:id="rId7">
        <w:r w:rsidDel="00000000" w:rsidR="00000000" w:rsidRPr="00000000">
          <w:rPr>
            <w:b w:val="1"/>
            <w:sz w:val="40"/>
            <w:szCs w:val="40"/>
            <w:rtl w:val="0"/>
          </w:rPr>
          <w:t xml:space="preserve">Bando della VII edizione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Il Comitato promotore – composto da Fondazione Maria e Goffredo Bellonci, Strega Alberti Benevento SpA, Centro per il libro e la lettura e BolognaFiere SpA– bandisce la settima edizione del concorso letterario Premio Strega Ragazze e Ragazzi.</w:t>
      </w:r>
    </w:p>
    <w:p w:rsidR="00000000" w:rsidDel="00000000" w:rsidP="00000000" w:rsidRDefault="00000000" w:rsidRPr="00000000" w14:paraId="00000003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</w:t>
      </w:r>
      <w:r w:rsidDel="00000000" w:rsidR="00000000" w:rsidRPr="00000000">
        <w:rPr>
          <w:b w:val="1"/>
          <w:sz w:val="24"/>
          <w:szCs w:val="24"/>
          <w:rtl w:val="0"/>
        </w:rPr>
        <w:t xml:space="preserve">Sono istituite le seguenti categorie di concorso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0" w:lineRule="auto"/>
        <w:ind w:left="720" w:hanging="360"/>
        <w:jc w:val="both"/>
        <w:rPr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libri di narrativa destinati a lettrici e lettori dai 6 ai 7 anni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6+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libri di narrativa destinati a lettrici e lettori dagli 8 ai 10 anni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8+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libri di narrativa destinati a lettrici e lettori dagli 11 ai 13 anni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11+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il miglior libro d’esordio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selezionato fra quelli in concorso nelle categorie 6+, 8+, 11+;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30" w:lineRule="auto"/>
        <w:ind w:left="720" w:hanging="360"/>
        <w:jc w:val="both"/>
        <w:rPr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la migliore narrazione per immagini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graphic novel, fumetti, albi illustrati, libri senza parole destinati alle stesse fasce di lettori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(6-13 anni)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Gli editori che intendono concorrere potranno presentare, con il consenso degli autori, opere di narrativa e libri illustrati, anche in traduzione, pubblicati in Italia tra </w:t>
      </w:r>
      <w:r w:rsidDel="00000000" w:rsidR="00000000" w:rsidRPr="00000000">
        <w:rPr>
          <w:b w:val="1"/>
          <w:sz w:val="24"/>
          <w:szCs w:val="24"/>
          <w:rtl w:val="0"/>
        </w:rPr>
        <w:t xml:space="preserve">il 1° aprile 2021 e il 31 marzo 2022</w:t>
      </w:r>
      <w:r w:rsidDel="00000000" w:rsidR="00000000" w:rsidRPr="00000000">
        <w:rPr>
          <w:sz w:val="24"/>
          <w:szCs w:val="24"/>
          <w:rtl w:val="0"/>
        </w:rPr>
        <w:t xml:space="preserve">. Ogni casa editrice potrà partecipare a una o, con opere diverse, a più categorie di concorso, candidando </w:t>
      </w:r>
      <w:r w:rsidDel="00000000" w:rsidR="00000000" w:rsidRPr="00000000">
        <w:rPr>
          <w:b w:val="1"/>
          <w:sz w:val="24"/>
          <w:szCs w:val="24"/>
          <w:rtl w:val="0"/>
        </w:rPr>
        <w:t xml:space="preserve">un massimo di 4 libri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uno per ciascuna delle categorie 6+, 8+, 11+, incluso l’eventuale libro d’esordio, più il libro illustrato. </w:t>
      </w:r>
      <w:r w:rsidDel="00000000" w:rsidR="00000000" w:rsidRPr="00000000">
        <w:rPr>
          <w:b w:val="1"/>
          <w:sz w:val="24"/>
          <w:szCs w:val="24"/>
          <w:rtl w:val="0"/>
        </w:rPr>
        <w:t xml:space="preserve">Sarà possibile proporre un solo titolo per categoria. </w:t>
      </w:r>
      <w:r w:rsidDel="00000000" w:rsidR="00000000" w:rsidRPr="00000000">
        <w:rPr>
          <w:sz w:val="24"/>
          <w:szCs w:val="24"/>
          <w:rtl w:val="0"/>
        </w:rPr>
        <w:t xml:space="preserve">Sono ammesse a partecipare esclusivamente opere di autori viventi al momento della pubblicazione. Non sono ammessi libri in ristampa, riedizioni, libri elettronici e autopubblicazioni. I libri di narrativa per immagini (graphic novel, fumetti, albi illustrati, libri senza parole) possono essere candidati esclusivamente nella categoria dedicata.</w:t>
      </w:r>
    </w:p>
    <w:p w:rsidR="00000000" w:rsidDel="00000000" w:rsidP="00000000" w:rsidRDefault="00000000" w:rsidRPr="00000000" w14:paraId="0000000A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 L’iscrizione comporta la compilazione del modulo online reperibile sul sito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www.premiostrega.it/PSR</w:t>
        </w:r>
      </w:hyperlink>
      <w:r w:rsidDel="00000000" w:rsidR="00000000" w:rsidRPr="00000000">
        <w:rPr>
          <w:sz w:val="24"/>
          <w:szCs w:val="24"/>
          <w:rtl w:val="0"/>
        </w:rPr>
        <w:t xml:space="preserve">, nel quale dovrà essere specificata la categoria di concorso a cui l’editore intende iscrivere ciascuna opera proposta. Il termine di scadenza per la restituzione del modulo online e per l’invio degli allegati richiesti è lunedì </w:t>
      </w:r>
      <w:r w:rsidDel="00000000" w:rsidR="00000000" w:rsidRPr="00000000">
        <w:rPr>
          <w:b w:val="1"/>
          <w:sz w:val="24"/>
          <w:szCs w:val="24"/>
          <w:rtl w:val="0"/>
        </w:rPr>
        <w:t xml:space="preserve">28 febbraio 2022 alle ore 12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A iscrizione avvenuta, la segreteria del Premio invierà a ogni editore gli indirizzi dei membri del Comitato scientifico ai quali spedire, </w:t>
      </w:r>
      <w:r w:rsidDel="00000000" w:rsidR="00000000" w:rsidRPr="00000000">
        <w:rPr>
          <w:b w:val="1"/>
          <w:sz w:val="24"/>
          <w:szCs w:val="24"/>
          <w:rtl w:val="0"/>
        </w:rPr>
        <w:t xml:space="preserve">anche in bozze ma con uscita programmata entro il 31 marzo 2022</w:t>
      </w:r>
      <w:r w:rsidDel="00000000" w:rsidR="00000000" w:rsidRPr="00000000">
        <w:rPr>
          <w:sz w:val="24"/>
          <w:szCs w:val="24"/>
          <w:rtl w:val="0"/>
        </w:rPr>
        <w:t xml:space="preserve">, le opere candidate. Dovranno inoltre pervenire, entro e non oltre </w:t>
      </w:r>
      <w:r w:rsidDel="00000000" w:rsidR="00000000" w:rsidRPr="00000000">
        <w:rPr>
          <w:b w:val="1"/>
          <w:sz w:val="24"/>
          <w:szCs w:val="24"/>
          <w:rtl w:val="0"/>
        </w:rPr>
        <w:t xml:space="preserve">lunedì 28 febbraio 2022 alle ore 12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quattro copie</w:t>
      </w:r>
      <w:r w:rsidDel="00000000" w:rsidR="00000000" w:rsidRPr="00000000">
        <w:rPr>
          <w:sz w:val="24"/>
          <w:szCs w:val="24"/>
          <w:rtl w:val="0"/>
        </w:rPr>
        <w:t xml:space="preserve"> delle stesse opere all'indirizzo della </w:t>
      </w:r>
      <w:r w:rsidDel="00000000" w:rsidR="00000000" w:rsidRPr="00000000">
        <w:rPr>
          <w:b w:val="1"/>
          <w:sz w:val="24"/>
          <w:szCs w:val="24"/>
          <w:rtl w:val="0"/>
        </w:rPr>
        <w:t xml:space="preserve">Fondazione Maria e Goffredo Bellonci, via Fratelli Ruspoli 2 - 00198 Roma. </w:t>
      </w:r>
      <w:r w:rsidDel="00000000" w:rsidR="00000000" w:rsidRPr="00000000">
        <w:rPr>
          <w:sz w:val="24"/>
          <w:szCs w:val="24"/>
          <w:rtl w:val="0"/>
        </w:rPr>
        <w:t xml:space="preserve">Si richiedono in tutto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copie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Il Comitato scientifico è coordinato dal presidente della Fondazione Maria e Goffredo Bellonci, </w:t>
      </w:r>
      <w:r w:rsidDel="00000000" w:rsidR="00000000" w:rsidRPr="00000000">
        <w:rPr>
          <w:b w:val="1"/>
          <w:sz w:val="24"/>
          <w:szCs w:val="24"/>
          <w:rtl w:val="0"/>
        </w:rPr>
        <w:t xml:space="preserve">Giovanni Solimine</w:t>
      </w:r>
      <w:r w:rsidDel="00000000" w:rsidR="00000000" w:rsidRPr="00000000">
        <w:rPr>
          <w:sz w:val="24"/>
          <w:szCs w:val="24"/>
          <w:rtl w:val="0"/>
        </w:rPr>
        <w:t xml:space="preserve">, ed è composto da rappresentanti degli enti promotori e da personalità distintesi in vari ambiti della letteratura per ragazzi e della promozione della lettura (università, istituzioni scolastiche, editoria, biblioteche, librerie, associazioni culturali). </w:t>
      </w:r>
    </w:p>
    <w:p w:rsidR="00000000" w:rsidDel="00000000" w:rsidP="00000000" w:rsidRDefault="00000000" w:rsidRPr="00000000" w14:paraId="0000000F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Nel mese di marzo sarà annunciata la terna finalista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premio per la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migliore narrazione per immagini</w:t>
      </w:r>
      <w:r w:rsidDel="00000000" w:rsidR="00000000" w:rsidRPr="00000000">
        <w:rPr>
          <w:sz w:val="24"/>
          <w:szCs w:val="24"/>
          <w:rtl w:val="0"/>
        </w:rPr>
        <w:t xml:space="preserve">, del valore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€ 1.000</w:t>
      </w:r>
      <w:r w:rsidDel="00000000" w:rsidR="00000000" w:rsidRPr="00000000">
        <w:rPr>
          <w:sz w:val="24"/>
          <w:szCs w:val="24"/>
          <w:rtl w:val="0"/>
        </w:rPr>
        <w:t xml:space="preserve">, il cui vincitore verrà proclamato nell'ambito della </w:t>
      </w:r>
      <w:r w:rsidDel="00000000" w:rsidR="00000000" w:rsidRPr="00000000">
        <w:rPr>
          <w:b w:val="1"/>
          <w:sz w:val="24"/>
          <w:szCs w:val="24"/>
          <w:rtl w:val="0"/>
        </w:rPr>
        <w:t xml:space="preserve">Bologna Children’s Book Fair 2022</w:t>
      </w:r>
      <w:r w:rsidDel="00000000" w:rsidR="00000000" w:rsidRPr="00000000">
        <w:rPr>
          <w:sz w:val="24"/>
          <w:szCs w:val="24"/>
          <w:rtl w:val="0"/>
        </w:rPr>
        <w:t xml:space="preserve">. Sia la terna finalista, sia il libro vincitore saranno selezionati dal Comitato scientifico a suo insindacabile giudizio. È previsto, inoltre, un premio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€ 1.000</w:t>
      </w:r>
      <w:r w:rsidDel="00000000" w:rsidR="00000000" w:rsidRPr="00000000">
        <w:rPr>
          <w:sz w:val="24"/>
          <w:szCs w:val="24"/>
          <w:rtl w:val="0"/>
        </w:rPr>
        <w:t xml:space="preserve"> per l’illustratore dell’opera vincitrice di questa categoria, se diverso dall’autore.</w:t>
      </w:r>
    </w:p>
    <w:p w:rsidR="00000000" w:rsidDel="00000000" w:rsidP="00000000" w:rsidRDefault="00000000" w:rsidRPr="00000000" w14:paraId="00000010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 Il Comitato scientifico esaminerà le opere candidate nelle tre categorie 6+, 8+ e 11+ e sceglierà tra queste le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terne finaliste </w:t>
      </w:r>
      <w:r w:rsidDel="00000000" w:rsidR="00000000" w:rsidRPr="00000000">
        <w:rPr>
          <w:sz w:val="24"/>
          <w:szCs w:val="24"/>
          <w:rtl w:val="0"/>
        </w:rPr>
        <w:t xml:space="preserve">e il vincitore del</w:t>
      </w:r>
      <w:r w:rsidDel="00000000" w:rsidR="00000000" w:rsidRPr="00000000">
        <w:rPr>
          <w:b w:val="1"/>
          <w:sz w:val="24"/>
          <w:szCs w:val="24"/>
          <w:rtl w:val="0"/>
        </w:rPr>
        <w:t xml:space="preserve"> premio per il miglior libro d’esordio</w:t>
      </w:r>
      <w:r w:rsidDel="00000000" w:rsidR="00000000" w:rsidRPr="00000000">
        <w:rPr>
          <w:sz w:val="24"/>
          <w:szCs w:val="24"/>
          <w:rtl w:val="0"/>
        </w:rPr>
        <w:t xml:space="preserve">. Gli studenti di oltre cento scuole primarie e secondarie di primo grado, distribuite sul territorio nazionale e all’estero, determineranno con il loro voto le opere vincitrici nelle tre categorie di concorso. Possono partecipare alla giuria anche gruppi di lettura composti da ragazze e ragazzi coordinati da biblioteche e istituzioni culturali italiane e straniere. </w:t>
      </w:r>
    </w:p>
    <w:p w:rsidR="00000000" w:rsidDel="00000000" w:rsidP="00000000" w:rsidRDefault="00000000" w:rsidRPr="00000000" w14:paraId="00000011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 Le bambine e i bambini che partecipano alla giuria nelle </w:t>
      </w:r>
      <w:r w:rsidDel="00000000" w:rsidR="00000000" w:rsidRPr="00000000">
        <w:rPr>
          <w:b w:val="1"/>
          <w:sz w:val="24"/>
          <w:szCs w:val="24"/>
          <w:rtl w:val="0"/>
        </w:rPr>
        <w:t xml:space="preserve">categorie 6+ e 8+</w:t>
      </w:r>
      <w:r w:rsidDel="00000000" w:rsidR="00000000" w:rsidRPr="00000000">
        <w:rPr>
          <w:sz w:val="24"/>
          <w:szCs w:val="24"/>
          <w:rtl w:val="0"/>
        </w:rPr>
        <w:t xml:space="preserve"> esprimeranno collettivamente il proprio voto, uno per ogni scuola, coordinati dai loro insegnanti. Nella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categoria 11+ </w:t>
      </w:r>
      <w:r w:rsidDel="00000000" w:rsidR="00000000" w:rsidRPr="00000000">
        <w:rPr>
          <w:sz w:val="24"/>
          <w:szCs w:val="24"/>
          <w:rtl w:val="0"/>
        </w:rPr>
        <w:t xml:space="preserve">il voto sarà invece espresso individualmente da ogni giurato (ciascuna scuola assegna dieci voti). </w:t>
      </w:r>
    </w:p>
    <w:p w:rsidR="00000000" w:rsidDel="00000000" w:rsidP="00000000" w:rsidRDefault="00000000" w:rsidRPr="00000000" w14:paraId="00000012">
      <w:pPr>
        <w:shd w:fill="ffffff" w:val="clear"/>
        <w:spacing w:after="230" w:befor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 La partecipazione dei libri finalisti al concorso è condizionata </w:t>
      </w:r>
      <w:r w:rsidDel="00000000" w:rsidR="00000000" w:rsidRPr="00000000">
        <w:rPr>
          <w:b w:val="1"/>
          <w:sz w:val="24"/>
          <w:szCs w:val="24"/>
          <w:rtl w:val="0"/>
        </w:rPr>
        <w:t xml:space="preserve">all’invio gratuito dei libri</w:t>
      </w:r>
      <w:r w:rsidDel="00000000" w:rsidR="00000000" w:rsidRPr="00000000">
        <w:rPr>
          <w:sz w:val="24"/>
          <w:szCs w:val="24"/>
          <w:rtl w:val="0"/>
        </w:rPr>
        <w:t xml:space="preserve"> da parte degli editori, nella misura di una copia per scuola. Sarà cura della segreteria del premio fornire indicazioni circa le modalità e i tempi della spedizione. </w:t>
      </w:r>
    </w:p>
    <w:p w:rsidR="00000000" w:rsidDel="00000000" w:rsidP="00000000" w:rsidRDefault="00000000" w:rsidRPr="00000000" w14:paraId="00000013">
      <w:pPr>
        <w:shd w:fill="ffffff" w:val="clear"/>
        <w:spacing w:after="230" w:before="230" w:lineRule="auto"/>
        <w:jc w:val="both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sz w:val="24"/>
          <w:szCs w:val="24"/>
          <w:rtl w:val="0"/>
        </w:rPr>
        <w:t xml:space="preserve">11) Il premio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€ 3.000</w:t>
      </w:r>
      <w:r w:rsidDel="00000000" w:rsidR="00000000" w:rsidRPr="00000000">
        <w:rPr>
          <w:sz w:val="24"/>
          <w:szCs w:val="24"/>
          <w:rtl w:val="0"/>
        </w:rPr>
        <w:t xml:space="preserve"> per le categorie di concorso 6+, 8+, 11+, sarà consegnato agli autori vincitori nell’autunno 2022 contestualmente al premio per il miglior libro di esordio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€ 1.000</w:t>
      </w:r>
      <w:r w:rsidDel="00000000" w:rsidR="00000000" w:rsidRPr="00000000">
        <w:rPr>
          <w:sz w:val="24"/>
          <w:szCs w:val="24"/>
          <w:rtl w:val="0"/>
        </w:rPr>
        <w:t xml:space="preserve">. In caso di parità di voti per il primo posto, il premio sarà assegnato </w:t>
      </w:r>
      <w:r w:rsidDel="00000000" w:rsidR="00000000" w:rsidRPr="00000000">
        <w:rPr>
          <w:i w:val="1"/>
          <w:sz w:val="24"/>
          <w:szCs w:val="24"/>
          <w:rtl w:val="0"/>
        </w:rPr>
        <w:t xml:space="preserve">ex aequo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30" w:before="23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12) Nel caso in cui l’opera più votata nelle diverse categorie di concorso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sia in traduzione, è previsto un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premio di pari entità per il traduttore</w:t>
      </w:r>
      <w:r w:rsidDel="00000000" w:rsidR="00000000" w:rsidRPr="00000000">
        <w:rPr>
          <w:sz w:val="24"/>
          <w:szCs w:val="24"/>
          <w:rtl w:val="0"/>
        </w:rPr>
        <w:t xml:space="preserve">. Qualora le opere vincitrici fossero tutte in lingua italiana, il comitato scientifico assegnerà il premio al traduttore di uno dei libri finalisti che riterrà a suo insindacabile giudizio più meritevole.</w:t>
      </w:r>
    </w:p>
    <w:p w:rsidR="00000000" w:rsidDel="00000000" w:rsidP="00000000" w:rsidRDefault="00000000" w:rsidRPr="00000000" w14:paraId="00000015">
      <w:pPr>
        <w:shd w:fill="ffffff" w:val="clear"/>
        <w:spacing w:after="230" w:before="230" w:lineRule="auto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13) L’inclusione tra i finalisti comporta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partecipazione degli autori</w:t>
      </w:r>
      <w:r w:rsidDel="00000000" w:rsidR="00000000" w:rsidRPr="00000000">
        <w:rPr>
          <w:sz w:val="24"/>
          <w:szCs w:val="24"/>
          <w:rtl w:val="0"/>
        </w:rPr>
        <w:t xml:space="preserve"> alla cerimonia di premiazione e ad altre eventuali iniziative di presentazione delle opere. La mancata osservanza degli impegni sottoscritti e delle scadenze prefissate comporterà l’esclusione dal concorso.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jc w:val="both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segreteria organizzativa </w:t>
      </w:r>
    </w:p>
    <w:p w:rsidR="00000000" w:rsidDel="00000000" w:rsidP="00000000" w:rsidRDefault="00000000" w:rsidRPr="00000000" w14:paraId="00000018">
      <w:pPr>
        <w:shd w:fill="ffffff" w:val="clear"/>
        <w:spacing w:after="0" w:before="120" w:lineRule="auto"/>
        <w:jc w:val="both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Fondazione Maria e Goffredo Bellonci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before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 Fratelli Ruspoli 2, 00198 Roma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E-mail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premi</w:t>
      </w:r>
      <w:hyperlink r:id="rId9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@fondazionebellonci.it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3228" w:left="851" w:right="851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205"/>
      </w:tabs>
      <w:spacing w:after="0" w:line="240" w:lineRule="auto"/>
      <w:jc w:val="center"/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inline distB="0" distT="0" distL="114300" distR="114300">
          <wp:extent cx="6149340" cy="599440"/>
          <wp:effectExtent b="0" l="0" r="0" t="0"/>
          <wp:docPr descr="FB_piedipagina_Futura.jpg" id="1032" name="image1.jpg"/>
          <a:graphic>
            <a:graphicData uri="http://schemas.openxmlformats.org/drawingml/2006/picture">
              <pic:pic>
                <pic:nvPicPr>
                  <pic:cNvPr descr="FB_piedipagina_Futura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9340" cy="599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212"/>
        <w:tab w:val="center" w:pos="4819"/>
      </w:tabs>
      <w:spacing w:after="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-130808</wp:posOffset>
          </wp:positionH>
          <wp:positionV relativeFrom="paragraph">
            <wp:posOffset>0</wp:posOffset>
          </wp:positionV>
          <wp:extent cx="7029450" cy="1952625"/>
          <wp:effectExtent b="0" l="0" r="0" t="0"/>
          <wp:wrapSquare wrapText="bothSides" distB="0" distT="0" distL="114300" distR="114300"/>
          <wp:docPr descr="Intestazione" id="1031" name="image2.png"/>
          <a:graphic>
            <a:graphicData uri="http://schemas.openxmlformats.org/drawingml/2006/picture">
              <pic:pic>
                <pic:nvPicPr>
                  <pic:cNvPr descr="Intestazio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29450" cy="1952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D4D9C"/>
    <w:pPr>
      <w:suppressAutoHyphens w:val="1"/>
    </w:pPr>
    <w:rPr>
      <w:lang w:eastAsia="ar-SA"/>
    </w:rPr>
  </w:style>
  <w:style w:type="paragraph" w:styleId="Titolo1">
    <w:name w:val="heading 1"/>
    <w:basedOn w:val="Normale"/>
    <w:next w:val="Normale"/>
    <w:uiPriority w:val="9"/>
    <w:qFormat w:val="1"/>
    <w:rsid w:val="00590A8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590A8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590A8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590A8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590A84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590A8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90A8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590A84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590A8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590A8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590A84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sid w:val="00CD4D9C"/>
    <w:rPr>
      <w:rFonts w:ascii="Symbol" w:cs="Symbol" w:hAnsi="Symbol" w:hint="default"/>
    </w:rPr>
  </w:style>
  <w:style w:type="character" w:styleId="WW8Num1z1" w:customStyle="1">
    <w:name w:val="WW8Num1z1"/>
    <w:rsid w:val="00CD4D9C"/>
    <w:rPr>
      <w:rFonts w:ascii="Courier New" w:cs="Wingdings" w:hAnsi="Courier New" w:hint="default"/>
    </w:rPr>
  </w:style>
  <w:style w:type="character" w:styleId="WW8Num1z2" w:customStyle="1">
    <w:name w:val="WW8Num1z2"/>
    <w:rsid w:val="00CD4D9C"/>
    <w:rPr>
      <w:rFonts w:ascii="Wingdings" w:cs="Wingdings" w:hAnsi="Wingdings" w:hint="default"/>
    </w:rPr>
  </w:style>
  <w:style w:type="character" w:styleId="WW8Num2z0" w:customStyle="1">
    <w:name w:val="WW8Num2z0"/>
    <w:rsid w:val="00CD4D9C"/>
    <w:rPr>
      <w:rFonts w:hint="default"/>
      <w:b w:val="1"/>
      <w:i w:val="0"/>
    </w:rPr>
  </w:style>
  <w:style w:type="character" w:styleId="WW8Num2z1" w:customStyle="1">
    <w:name w:val="WW8Num2z1"/>
    <w:rsid w:val="00CD4D9C"/>
  </w:style>
  <w:style w:type="character" w:styleId="WW8Num2z2" w:customStyle="1">
    <w:name w:val="WW8Num2z2"/>
    <w:rsid w:val="00CD4D9C"/>
  </w:style>
  <w:style w:type="character" w:styleId="WW8Num2z3" w:customStyle="1">
    <w:name w:val="WW8Num2z3"/>
    <w:rsid w:val="00CD4D9C"/>
  </w:style>
  <w:style w:type="character" w:styleId="WW8Num2z4" w:customStyle="1">
    <w:name w:val="WW8Num2z4"/>
    <w:rsid w:val="00CD4D9C"/>
  </w:style>
  <w:style w:type="character" w:styleId="WW8Num2z5" w:customStyle="1">
    <w:name w:val="WW8Num2z5"/>
    <w:rsid w:val="00CD4D9C"/>
  </w:style>
  <w:style w:type="character" w:styleId="WW8Num2z6" w:customStyle="1">
    <w:name w:val="WW8Num2z6"/>
    <w:rsid w:val="00CD4D9C"/>
  </w:style>
  <w:style w:type="character" w:styleId="WW8Num2z7" w:customStyle="1">
    <w:name w:val="WW8Num2z7"/>
    <w:rsid w:val="00CD4D9C"/>
  </w:style>
  <w:style w:type="character" w:styleId="WW8Num2z8" w:customStyle="1">
    <w:name w:val="WW8Num2z8"/>
    <w:rsid w:val="00CD4D9C"/>
  </w:style>
  <w:style w:type="character" w:styleId="WW8Num3z0" w:customStyle="1">
    <w:name w:val="WW8Num3z0"/>
    <w:rsid w:val="00CD4D9C"/>
    <w:rPr>
      <w:rFonts w:ascii="Symbol" w:cs="Symbol" w:hAnsi="Symbol" w:hint="default"/>
    </w:rPr>
  </w:style>
  <w:style w:type="character" w:styleId="WW8Num3z1" w:customStyle="1">
    <w:name w:val="WW8Num3z1"/>
    <w:rsid w:val="00CD4D9C"/>
    <w:rPr>
      <w:rFonts w:ascii="Courier New" w:cs="Wingdings" w:hAnsi="Courier New" w:hint="default"/>
    </w:rPr>
  </w:style>
  <w:style w:type="character" w:styleId="WW8Num3z2" w:customStyle="1">
    <w:name w:val="WW8Num3z2"/>
    <w:rsid w:val="00CD4D9C"/>
    <w:rPr>
      <w:rFonts w:ascii="Wingdings" w:cs="Wingdings" w:hAnsi="Wingdings" w:hint="default"/>
    </w:rPr>
  </w:style>
  <w:style w:type="character" w:styleId="WW8Num4z0" w:customStyle="1">
    <w:name w:val="WW8Num4z0"/>
    <w:rsid w:val="00CD4D9C"/>
    <w:rPr>
      <w:rFonts w:hint="default"/>
      <w:b w:val="1"/>
      <w:i w:val="0"/>
    </w:rPr>
  </w:style>
  <w:style w:type="character" w:styleId="WW8Num4z1" w:customStyle="1">
    <w:name w:val="WW8Num4z1"/>
    <w:rsid w:val="00CD4D9C"/>
    <w:rPr>
      <w:rFonts w:hint="default"/>
    </w:rPr>
  </w:style>
  <w:style w:type="character" w:styleId="WW8Num4z2" w:customStyle="1">
    <w:name w:val="WW8Num4z2"/>
    <w:rsid w:val="00CD4D9C"/>
  </w:style>
  <w:style w:type="character" w:styleId="WW8Num4z3" w:customStyle="1">
    <w:name w:val="WW8Num4z3"/>
    <w:rsid w:val="00CD4D9C"/>
  </w:style>
  <w:style w:type="character" w:styleId="WW8Num4z4" w:customStyle="1">
    <w:name w:val="WW8Num4z4"/>
    <w:rsid w:val="00CD4D9C"/>
  </w:style>
  <w:style w:type="character" w:styleId="WW8Num4z5" w:customStyle="1">
    <w:name w:val="WW8Num4z5"/>
    <w:rsid w:val="00CD4D9C"/>
  </w:style>
  <w:style w:type="character" w:styleId="WW8Num4z6" w:customStyle="1">
    <w:name w:val="WW8Num4z6"/>
    <w:rsid w:val="00CD4D9C"/>
  </w:style>
  <w:style w:type="character" w:styleId="WW8Num4z7" w:customStyle="1">
    <w:name w:val="WW8Num4z7"/>
    <w:rsid w:val="00CD4D9C"/>
  </w:style>
  <w:style w:type="character" w:styleId="WW8Num4z8" w:customStyle="1">
    <w:name w:val="WW8Num4z8"/>
    <w:rsid w:val="00CD4D9C"/>
  </w:style>
  <w:style w:type="character" w:styleId="Carpredefinitoparagrafo1" w:customStyle="1">
    <w:name w:val="Car. predefinito paragrafo1"/>
    <w:rsid w:val="00CD4D9C"/>
  </w:style>
  <w:style w:type="character" w:styleId="Collegamentoipertestuale1" w:customStyle="1">
    <w:name w:val="Collegamento ipertestuale1"/>
    <w:rsid w:val="00CD4D9C"/>
    <w:rPr>
      <w:color w:val="421e07"/>
      <w:sz w:val="20"/>
      <w:u w:val="single"/>
    </w:rPr>
  </w:style>
  <w:style w:type="character" w:styleId="IntestazioneCarattere" w:customStyle="1">
    <w:name w:val="Intestazione Carattere"/>
    <w:rsid w:val="00CD4D9C"/>
    <w:rPr>
      <w:sz w:val="22"/>
      <w:szCs w:val="22"/>
    </w:rPr>
  </w:style>
  <w:style w:type="character" w:styleId="PidipaginaCarattere" w:customStyle="1">
    <w:name w:val="Piè di pagina Carattere"/>
    <w:rsid w:val="00CD4D9C"/>
    <w:rPr>
      <w:sz w:val="22"/>
      <w:szCs w:val="22"/>
    </w:rPr>
  </w:style>
  <w:style w:type="character" w:styleId="Collegamentoipertestuale">
    <w:name w:val="Hyperlink"/>
    <w:uiPriority w:val="99"/>
    <w:rsid w:val="00CD4D9C"/>
    <w:rPr>
      <w:color w:val="0000ff"/>
      <w:u w:val="single"/>
    </w:rPr>
  </w:style>
  <w:style w:type="character" w:styleId="Enfasicorsivo">
    <w:name w:val="Emphasis"/>
    <w:qFormat w:val="1"/>
    <w:rsid w:val="00CD4D9C"/>
    <w:rPr>
      <w:i w:val="1"/>
      <w:iCs w:val="1"/>
    </w:rPr>
  </w:style>
  <w:style w:type="character" w:styleId="TestofumettoCarattere" w:customStyle="1">
    <w:name w:val="Testo fumetto Carattere"/>
    <w:rsid w:val="00CD4D9C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rsid w:val="00CD4D9C"/>
  </w:style>
  <w:style w:type="character" w:styleId="Enfasigrassetto">
    <w:name w:val="Strong"/>
    <w:qFormat w:val="1"/>
    <w:rsid w:val="00CD4D9C"/>
    <w:rPr>
      <w:b w:val="1"/>
      <w:bCs w:val="1"/>
    </w:rPr>
  </w:style>
  <w:style w:type="character" w:styleId="Collegamentovisitato">
    <w:name w:val="FollowedHyperlink"/>
    <w:rsid w:val="00CD4D9C"/>
    <w:rPr>
      <w:color w:val="800080"/>
      <w:u w:val="single"/>
    </w:rPr>
  </w:style>
  <w:style w:type="paragraph" w:styleId="Intestazione1" w:customStyle="1">
    <w:name w:val="Intestazione1"/>
    <w:basedOn w:val="Normale"/>
    <w:next w:val="Corpodeltesto"/>
    <w:rsid w:val="00CD4D9C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Corpodeltesto">
    <w:name w:val="Body Text"/>
    <w:basedOn w:val="Normale"/>
    <w:rsid w:val="00CD4D9C"/>
    <w:pPr>
      <w:spacing w:after="120"/>
    </w:pPr>
  </w:style>
  <w:style w:type="paragraph" w:styleId="Elenco">
    <w:name w:val="List"/>
    <w:basedOn w:val="Corpodeltesto"/>
    <w:rsid w:val="00CD4D9C"/>
  </w:style>
  <w:style w:type="paragraph" w:styleId="Didascalia1" w:customStyle="1">
    <w:name w:val="Didascalia1"/>
    <w:basedOn w:val="Normale"/>
    <w:rsid w:val="00CD4D9C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ice" w:customStyle="1">
    <w:name w:val="Indice"/>
    <w:basedOn w:val="Normale"/>
    <w:rsid w:val="00CD4D9C"/>
    <w:pPr>
      <w:suppressLineNumbers w:val="1"/>
    </w:pPr>
  </w:style>
  <w:style w:type="paragraph" w:styleId="Normale1" w:customStyle="1">
    <w:name w:val="Normale1"/>
    <w:rsid w:val="00CD4D9C"/>
    <w:pPr>
      <w:suppressAutoHyphens w:val="1"/>
    </w:pPr>
    <w:rPr>
      <w:rFonts w:eastAsia="ヒラギノ角ゴ Pro W3"/>
      <w:color w:val="000000"/>
      <w:sz w:val="24"/>
      <w:szCs w:val="24"/>
      <w:lang w:eastAsia="ar-SA"/>
    </w:rPr>
  </w:style>
  <w:style w:type="paragraph" w:styleId="Intestazione">
    <w:name w:val="header"/>
    <w:basedOn w:val="Normale"/>
    <w:rsid w:val="00CD4D9C"/>
  </w:style>
  <w:style w:type="paragraph" w:styleId="Pidipagina">
    <w:name w:val="footer"/>
    <w:basedOn w:val="Normale"/>
    <w:rsid w:val="00CD4D9C"/>
  </w:style>
  <w:style w:type="paragraph" w:styleId="Standard" w:customStyle="1">
    <w:name w:val="Standard"/>
    <w:rsid w:val="00CD4D9C"/>
    <w:pPr>
      <w:widowControl w:val="0"/>
      <w:suppressAutoHyphens w:val="1"/>
      <w:textAlignment w:val="baseline"/>
    </w:pPr>
    <w:rPr>
      <w:rFonts w:cs="Tahoma" w:eastAsia="Arial Unicode MS"/>
      <w:kern w:val="1"/>
      <w:sz w:val="24"/>
      <w:szCs w:val="24"/>
      <w:lang w:eastAsia="ar-SA"/>
    </w:rPr>
  </w:style>
  <w:style w:type="paragraph" w:styleId="Testofumetto">
    <w:name w:val="Balloon Text"/>
    <w:basedOn w:val="Normale"/>
    <w:rsid w:val="00CD4D9C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NormaleWeb">
    <w:name w:val="Normal (Web)"/>
    <w:basedOn w:val="Normale"/>
    <w:rsid w:val="00CD4D9C"/>
    <w:pPr>
      <w:spacing w:after="280" w:before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epidipaginaA" w:customStyle="1">
    <w:name w:val="Intestazione e piè di pagina A"/>
    <w:rsid w:val="00CD4D9C"/>
    <w:pPr>
      <w:suppressAutoHyphens w:val="1"/>
    </w:pPr>
    <w:rPr>
      <w:rFonts w:ascii="Helvetica" w:cs="Helvetica" w:eastAsia="ヒラギノ角ゴ Pro W3" w:hAnsi="Helvetica"/>
      <w:color w:val="000000"/>
      <w:kern w:val="1"/>
      <w:sz w:val="24"/>
      <w:szCs w:val="24"/>
      <w:lang w:bidi="hi-IN" w:eastAsia="hi-IN"/>
    </w:rPr>
  </w:style>
  <w:style w:type="paragraph" w:styleId="Testonormale1" w:customStyle="1">
    <w:name w:val="Testo normale1"/>
    <w:rsid w:val="00CD4D9C"/>
    <w:pPr>
      <w:suppressAutoHyphens w:val="1"/>
    </w:pPr>
    <w:rPr>
      <w:rFonts w:ascii="Lucida Grande" w:cs="Lucida Grande" w:eastAsia="ヒラギノ角ゴ Pro W3" w:hAnsi="Lucida Grande"/>
      <w:color w:val="000000"/>
      <w:kern w:val="1"/>
      <w:szCs w:val="24"/>
      <w:lang w:bidi="hi-IN" w:eastAsia="hi-IN" w:val="en-US"/>
    </w:rPr>
  </w:style>
  <w:style w:type="paragraph" w:styleId="Sfondoacolori-Colore11" w:customStyle="1">
    <w:name w:val="Sfondo a colori - Colore 11"/>
    <w:rsid w:val="00CD4D9C"/>
    <w:pPr>
      <w:suppressAutoHyphens w:val="1"/>
    </w:pPr>
    <w:rPr>
      <w:lang w:eastAsia="ar-SA"/>
    </w:rPr>
  </w:style>
  <w:style w:type="paragraph" w:styleId="Corpodeltesto21" w:customStyle="1">
    <w:name w:val="Corpo del testo 21"/>
    <w:rsid w:val="00CD4D9C"/>
    <w:pPr>
      <w:suppressAutoHyphens w:val="1"/>
      <w:jc w:val="both"/>
    </w:pPr>
    <w:rPr>
      <w:rFonts w:eastAsia="ヒラギノ角ゴ Pro W3"/>
      <w:color w:val="000000"/>
      <w:kern w:val="1"/>
      <w:sz w:val="24"/>
      <w:lang w:bidi="hi-IN" w:eastAsia="hi-IN"/>
    </w:rPr>
  </w:style>
  <w:style w:type="paragraph" w:styleId="Paragrafoelenco">
    <w:name w:val="List Paragraph"/>
    <w:basedOn w:val="Normale"/>
    <w:uiPriority w:val="34"/>
    <w:qFormat w:val="1"/>
    <w:rsid w:val="004F668F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rsid w:val="00590A84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e">
    <w:name w:val="Revision"/>
    <w:hidden w:val="1"/>
    <w:uiPriority w:val="99"/>
    <w:semiHidden w:val="1"/>
    <w:rsid w:val="009C3DF3"/>
    <w:pPr>
      <w:spacing w:after="0" w:line="240" w:lineRule="auto"/>
    </w:pPr>
    <w:rPr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fondazionebellonci.it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remiocalvino.it/?p=5759" TargetMode="External"/><Relationship Id="rId8" Type="http://schemas.openxmlformats.org/officeDocument/2006/relationships/hyperlink" Target="http://www.premiostrega.it/PS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1yoTe8E8/HE+ITJpYFcK5BLMoQ==">AMUW2mVB43H7e9T4ZOZ/fe2RnLiYrMEa/JjMeikMFCWhHwkiEjPZfLFBUl1g6HfP6z/sAa3eGHuSgw2MQyl306dcVr5abYehmkVtv82tLQlW90p7pLZlGTSPsBRyMlgXUhH7O6FK0adA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2022-02-09T14:46:00Z</dcterms:created>
  <dc:creator>Ex Libris Comunicazione</dc:creator>
</cp:coreProperties>
</file>